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i/>
          <w:cap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caps/>
          <w:color w:val="auto"/>
          <w:sz w:val="24"/>
          <w:szCs w:val="24"/>
        </w:rPr>
        <w:t>Одеський науково-дослідний експертно-криміналістичний центр МВС України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ОБҐРУНТУВАННЯ 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color w:val="auto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color w:val="auto"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color w:val="0000FF"/>
          <w:sz w:val="24"/>
          <w:szCs w:val="24"/>
        </w:rPr>
      </w:pPr>
      <w:bookmarkStart w:id="1" w:name="_GoBack"/>
      <w:bookmarkEnd w:id="1"/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Одеський науково-дослідний експертно-криміналістичний центр </w:t>
      </w:r>
      <w:bookmarkStart w:id="0" w:name="_Hlk123734260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МВС України</w:t>
      </w:r>
      <w:bookmarkEnd w:id="0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, 25574222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65005, Україна, Одеська область, м. Одеса, </w:t>
      </w:r>
      <w:r>
        <w:rPr>
          <w:rFonts w:hint="default" w:ascii="Times New Roman" w:hAnsi="Times New Roman" w:cs="Times New Roman"/>
          <w:color w:val="auto"/>
          <w:sz w:val="24"/>
          <w:szCs w:val="24"/>
          <w:shd w:val="clear" w:color="auto" w:fill="FFFFFF"/>
          <w:lang w:val="uk-UA"/>
        </w:rPr>
        <w:t xml:space="preserve">                           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вул. Прохоровська, 35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>Назва предмета закупівлі із зазначенням коду за Єдиним закупівельним словником та назва відповідного класифікатору предмета закупівлі: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eastAsia="Arial" w:cs="Times New Roman"/>
          <w:b/>
          <w:bCs/>
          <w:color w:val="auto"/>
          <w:sz w:val="24"/>
          <w:szCs w:val="24"/>
          <w:highlight w:val="none"/>
        </w:rPr>
        <w:t>Код ДК 021:2015:</w:t>
      </w:r>
      <w:r>
        <w:rPr>
          <w:rFonts w:hint="default" w:ascii="Times New Roman" w:hAnsi="Times New Roman" w:eastAsia="Arial" w:cs="Times New Roman"/>
          <w:b/>
          <w:bCs/>
          <w:color w:val="auto"/>
          <w:sz w:val="24"/>
          <w:szCs w:val="24"/>
          <w:highlight w:val="none"/>
          <w:lang w:val="uk-UA"/>
        </w:rPr>
        <w:t>30210000-4</w:t>
      </w:r>
      <w:r>
        <w:rPr>
          <w:rFonts w:hint="default" w:ascii="Times New Roman" w:hAnsi="Times New Roman" w:eastAsia="Arial" w:cs="Times New Roman"/>
          <w:b/>
          <w:bCs/>
          <w:color w:val="auto"/>
          <w:sz w:val="24"/>
          <w:szCs w:val="24"/>
          <w:highlight w:val="none"/>
        </w:rPr>
        <w:t>:</w:t>
      </w:r>
      <w:r>
        <w:rPr>
          <w:rFonts w:hint="default" w:ascii="Times New Roman" w:hAnsi="Times New Roman" w:eastAsia="Arial" w:cs="Times New Roman"/>
          <w:b/>
          <w:bCs/>
          <w:color w:val="auto"/>
          <w:sz w:val="24"/>
          <w:szCs w:val="24"/>
          <w:highlight w:val="none"/>
          <w:lang w:val="uk-UA"/>
        </w:rPr>
        <w:t xml:space="preserve">Машини для обробки даних (апаратна машина) </w:t>
      </w:r>
      <w:r>
        <w:rPr>
          <w:rFonts w:hint="default" w:ascii="Times New Roman" w:hAnsi="Times New Roman" w:eastAsia="Arial" w:cs="Times New Roman"/>
          <w:b/>
          <w:bCs/>
          <w:color w:val="auto"/>
          <w:sz w:val="24"/>
          <w:szCs w:val="24"/>
        </w:rPr>
        <w:t>(</w:t>
      </w:r>
      <w:r>
        <w:rPr>
          <w:rFonts w:hint="default" w:ascii="Times New Roman" w:hAnsi="Times New Roman" w:eastAsia="Arial" w:cs="Times New Roman"/>
          <w:b/>
          <w:bCs/>
          <w:color w:val="auto"/>
          <w:sz w:val="24"/>
          <w:szCs w:val="24"/>
          <w:lang w:val="uk-UA"/>
        </w:rPr>
        <w:t>К</w:t>
      </w:r>
      <w:r>
        <w:rPr>
          <w:rFonts w:hint="default" w:ascii="Times New Roman" w:hAnsi="Times New Roman" w:eastAsia="Arial" w:cs="Times New Roman"/>
          <w:b/>
          <w:bCs/>
          <w:color w:val="auto"/>
          <w:sz w:val="24"/>
          <w:szCs w:val="24"/>
        </w:rPr>
        <w:t>омп'ютер ARTLINE Business B29v65Win</w:t>
      </w:r>
      <w:r>
        <w:rPr>
          <w:rFonts w:hint="default" w:ascii="Times New Roman" w:hAnsi="Times New Roman" w:eastAsia="Arial" w:cs="Times New Roman"/>
          <w:b/>
          <w:bCs/>
          <w:color w:val="auto"/>
          <w:sz w:val="24"/>
          <w:szCs w:val="24"/>
          <w:lang w:val="uk-UA"/>
        </w:rPr>
        <w:t xml:space="preserve">) 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</w:rPr>
        <w:t xml:space="preserve">Вид та ідентифікатор процедури закупівлі: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val="uk-UA"/>
        </w:rPr>
        <w:t>Закупівля</w:t>
      </w: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lang w:val="uk-UA"/>
        </w:rPr>
        <w:t xml:space="preserve"> без використання електронної системи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uk-UA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color w:val="auto"/>
          <w:sz w:val="24"/>
          <w:szCs w:val="24"/>
          <w:lang w:eastAsia="uk-UA"/>
        </w:rPr>
        <w:t>(п</w:t>
      </w:r>
      <w:r>
        <w:rPr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роцедура закупівлі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lang w:val="uk-UA"/>
        </w:rPr>
        <w:t>без використання електронної системи</w:t>
      </w:r>
      <w:r>
        <w:rPr>
          <w:rFonts w:ascii="Times New Roman" w:hAnsi="Times New Roman" w:cs="Times New Roman"/>
          <w:b w:val="0"/>
          <w:bCs/>
          <w:color w:val="auto"/>
          <w:sz w:val="24"/>
          <w:szCs w:val="24"/>
        </w:rPr>
        <w:t xml:space="preserve"> проводиться Замовником з урахуванням Постанови від 12 жовтня 2022 р. № 1178 «Про затвердження особливостей здійснення публічних закупівел</w:t>
      </w:r>
      <w:r>
        <w:rPr>
          <w:rFonts w:ascii="Times New Roman" w:hAnsi="Times New Roman" w:cs="Times New Roman"/>
          <w:b w:val="0"/>
          <w:bCs/>
          <w:color w:val="auto"/>
          <w:sz w:val="24"/>
          <w:szCs w:val="24"/>
          <w:lang w:val="uk-UA"/>
        </w:rPr>
        <w:t>ь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uk-UA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uk-UA"/>
        </w:rPr>
        <w:t>(</w:t>
      </w:r>
      <w:r>
        <w:rPr>
          <w:rFonts w:ascii="Times New Roman" w:hAnsi="Times New Roman" w:cs="Times New Roman"/>
          <w:color w:val="auto"/>
          <w:sz w:val="24"/>
          <w:szCs w:val="24"/>
        </w:rPr>
        <w:t>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 (зі змінами)), UA-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Р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color w:val="auto"/>
          <w:sz w:val="24"/>
          <w:szCs w:val="24"/>
        </w:rPr>
        <w:t>2026-10-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16</w:t>
      </w:r>
      <w:r>
        <w:rPr>
          <w:rFonts w:ascii="Times New Roman" w:hAnsi="Times New Roman" w:cs="Times New Roman"/>
          <w:color w:val="auto"/>
          <w:sz w:val="24"/>
          <w:szCs w:val="24"/>
        </w:rPr>
        <w:t>-0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>01015</w:t>
      </w:r>
      <w:r>
        <w:rPr>
          <w:rFonts w:ascii="Times New Roman" w:hAnsi="Times New Roman" w:cs="Times New Roman"/>
          <w:color w:val="auto"/>
          <w:sz w:val="24"/>
          <w:szCs w:val="24"/>
        </w:rPr>
        <w:t>-a.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</w:rPr>
        <w:t>Обґрунтування розміру витрат (бюджетного призначення)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Розмір бюджетного призначення –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uk-UA"/>
        </w:rPr>
        <w:t xml:space="preserve">149 706,00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з ПДВ визначено відповідно до річного плану закупівель. Виконання умов договору передбачається протягом 2026 року, відповідно, фінансування закупівлі відбуватиметься згідно затверджених у бюджетному періоді асигнувань.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Джерело фінансування – Державний бюджет України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К</w:t>
      </w:r>
      <w:r>
        <w:rPr>
          <w:rFonts w:ascii="Times New Roman" w:hAnsi="Times New Roman" w:cs="Times New Roman"/>
          <w:color w:val="auto"/>
          <w:sz w:val="24"/>
          <w:szCs w:val="24"/>
        </w:rPr>
        <w:t>ЕКВ 3110 - придбання обладнання і предметів довгострокового користування.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Відповідно до коду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uk-UA"/>
        </w:rPr>
        <w:t>КПК-2026: 1001050 – Забезпечення діяльності органів, установ та закладів Міністерства внутрішніх справ України, підготовка кадрів закладами вищої освіти із специфічними умовами навчання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Обґрунтування технічних та якісних характеристик предмета закупівлі: </w:t>
      </w:r>
    </w:p>
    <w:p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color w:val="auto"/>
          <w:sz w:val="24"/>
          <w:szCs w:val="24"/>
        </w:rPr>
      </w:pPr>
    </w:p>
    <w:p>
      <w:pPr>
        <w:pStyle w:val="2"/>
        <w:numPr>
          <w:ilvl w:val="0"/>
          <w:numId w:val="3"/>
        </w:numPr>
        <w:ind w:right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Призначення та загальні вимоги</w:t>
      </w:r>
    </w:p>
    <w:p>
      <w:pPr>
        <w:widowControl w:val="0"/>
        <w:ind w:left="264" w:leftChars="120" w:firstLine="360" w:firstLineChars="150"/>
        <w:jc w:val="both"/>
        <w:rPr>
          <w:color w:val="auto"/>
          <w:sz w:val="24"/>
          <w:szCs w:val="24"/>
        </w:rPr>
      </w:pPr>
      <w:r>
        <w:rPr>
          <w:rFonts w:hint="default" w:ascii="Times New Roman" w:hAnsi="Times New Roman"/>
          <w:i w:val="0"/>
          <w:iCs w:val="0"/>
          <w:sz w:val="24"/>
          <w:szCs w:val="24"/>
          <w:lang w:val="uk-UA"/>
        </w:rPr>
        <w:t xml:space="preserve">З метою належного функціонування та виконання завдань  відділом </w:t>
      </w:r>
      <w:r>
        <w:rPr>
          <w:rFonts w:hint="default" w:ascii="Times New Roman" w:hAnsi="Times New Roman"/>
          <w:i w:val="0"/>
          <w:iCs w:val="0"/>
          <w:sz w:val="24"/>
          <w:szCs w:val="24"/>
          <w:lang w:val="en-US"/>
        </w:rPr>
        <w:t>бухгалтерського обліку та звітності</w:t>
      </w:r>
      <w:r>
        <w:rPr>
          <w:rFonts w:hint="default" w:ascii="Times New Roman" w:hAnsi="Times New Roman"/>
          <w:i w:val="0"/>
          <w:iCs w:val="0"/>
          <w:sz w:val="24"/>
          <w:szCs w:val="24"/>
          <w:lang w:val="uk-UA"/>
        </w:rPr>
        <w:t xml:space="preserve"> Одеського НДЕКЦ МВС є потреба оновлення робочих станцій для зазначеного відділу шляхом закупівлі трьох </w:t>
      </w:r>
      <w:r>
        <w:rPr>
          <w:rFonts w:hint="default" w:ascii="Times New Roman" w:hAnsi="Times New Roman"/>
          <w:i w:val="0"/>
          <w:iCs w:val="0"/>
          <w:color w:val="auto"/>
          <w:sz w:val="24"/>
          <w:szCs w:val="24"/>
          <w:lang w:val="uk-UA"/>
        </w:rPr>
        <w:t>системних блоків.</w:t>
      </w:r>
    </w:p>
    <w:p>
      <w:pPr>
        <w:pStyle w:val="2"/>
        <w:numPr>
          <w:ilvl w:val="0"/>
          <w:numId w:val="3"/>
        </w:numPr>
        <w:ind w:left="720" w:leftChars="0" w:right="0" w:hanging="360" w:firstLineChars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Основні технічні та якісні характеристики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baseline"/>
        <w:rPr>
          <w:rFonts w:hint="default" w:ascii="Times New Roman" w:hAnsi="Times New Roman"/>
          <w:i w:val="0"/>
          <w:iCs w:val="0"/>
          <w:sz w:val="24"/>
          <w:szCs w:val="24"/>
          <w:lang w:val="uk-UA"/>
        </w:rPr>
      </w:pPr>
      <w:r>
        <w:rPr>
          <w:rFonts w:hint="default" w:ascii="Times New Roman" w:hAnsi="Times New Roman"/>
          <w:i w:val="0"/>
          <w:iCs w:val="0"/>
          <w:sz w:val="24"/>
          <w:szCs w:val="24"/>
          <w:lang w:val="uk-UA"/>
        </w:rPr>
        <w:t xml:space="preserve"> Технічні та якісні характеристики системних блоків у відповідності до специфічних умов виконання посадових обов’язків</w:t>
      </w:r>
      <w:r>
        <w:rPr>
          <w:rFonts w:hint="default"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/>
          <w:i w:val="0"/>
          <w:iCs w:val="0"/>
          <w:sz w:val="24"/>
          <w:szCs w:val="24"/>
          <w:lang w:val="uk-UA"/>
        </w:rPr>
        <w:t>працівників відділу</w:t>
      </w:r>
      <w:r>
        <w:rPr>
          <w:rFonts w:hint="default" w:ascii="Times New Roman" w:hAnsi="Times New Roman"/>
          <w:i w:val="0"/>
          <w:iCs w:val="0"/>
          <w:sz w:val="24"/>
          <w:szCs w:val="24"/>
          <w:lang w:val="en-US"/>
        </w:rPr>
        <w:t xml:space="preserve"> бухгалтерського обліку та звітності</w:t>
      </w:r>
      <w:r>
        <w:rPr>
          <w:rFonts w:hint="default" w:ascii="Times New Roman" w:hAnsi="Times New Roman"/>
          <w:i w:val="0"/>
          <w:iCs w:val="0"/>
          <w:sz w:val="24"/>
          <w:szCs w:val="24"/>
          <w:lang w:val="uk-UA"/>
        </w:rPr>
        <w:t xml:space="preserve"> Одеського НДЕКЦ МВС:</w:t>
      </w:r>
    </w:p>
    <w:tbl>
      <w:tblPr>
        <w:tblStyle w:val="7"/>
        <w:tblW w:w="99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617"/>
        <w:gridCol w:w="4883"/>
        <w:gridCol w:w="1483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uk-UA"/>
              </w:rPr>
              <w:t>№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Найменування товару</w:t>
            </w:r>
          </w:p>
        </w:tc>
        <w:tc>
          <w:tcPr>
            <w:tcW w:w="48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Характеристики</w:t>
            </w:r>
          </w:p>
        </w:tc>
        <w:tc>
          <w:tcPr>
            <w:tcW w:w="14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vertAlign w:val="baseline"/>
              </w:rPr>
              <w:t>Вимоги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 xml:space="preserve">Кількість, шт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uk-UA"/>
              </w:rPr>
              <w:t>1</w:t>
            </w:r>
          </w:p>
        </w:tc>
        <w:tc>
          <w:tcPr>
            <w:tcW w:w="6500" w:type="dxa"/>
            <w:gridSpan w:val="2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Робоче місце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в складі:</w:t>
            </w:r>
          </w:p>
        </w:tc>
        <w:tc>
          <w:tcPr>
            <w:tcW w:w="14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b/>
                <w:bCs/>
                <w:sz w:val="24"/>
                <w:szCs w:val="24"/>
                <w:vertAlign w:val="baseline"/>
                <w:lang w:val="uk-UA"/>
              </w:rPr>
              <w:t>Наявність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1.1</w:t>
            </w:r>
          </w:p>
        </w:tc>
        <w:tc>
          <w:tcPr>
            <w:tcW w:w="6500" w:type="dxa"/>
            <w:gridSpan w:val="2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Системний блок</w:t>
            </w:r>
          </w:p>
        </w:tc>
        <w:tc>
          <w:tcPr>
            <w:tcW w:w="14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1.1.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1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Материнська плата</w:t>
            </w:r>
          </w:p>
        </w:tc>
        <w:tc>
          <w:tcPr>
            <w:tcW w:w="4883" w:type="dxa"/>
          </w:tcPr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ru-RU"/>
              </w:rPr>
              <w:t>Наявн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  <w:t>ість н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е менше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  <w:t xml:space="preserve"> ніж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:</w:t>
            </w:r>
          </w:p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  <w:t xml:space="preserve">роз’єми оперативної памяті типу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DDR4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(</w:t>
            </w: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uk-UA"/>
              </w:rPr>
              <w:t>обов’язкова підтримка частоти 3200МГц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);</w:t>
            </w:r>
          </w:p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 xml:space="preserve">1 роз’єму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uk-UA"/>
              </w:rPr>
              <w:t>M.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/>
              </w:rPr>
              <w:t>2 2280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;</w:t>
            </w:r>
          </w:p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1 порт HDMI;</w:t>
            </w:r>
          </w:p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uk-UA"/>
              </w:rPr>
              <w:t>1 порт VGA;</w:t>
            </w:r>
          </w:p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1 порт RJ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-45;</w:t>
            </w:r>
          </w:p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порт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  <w:t>и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 xml:space="preserve"> USB 3.2 Type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-A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;</w:t>
            </w:r>
          </w:p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  <w:t>4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 xml:space="preserve"> порт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  <w:t>и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 xml:space="preserve"> USB 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  <w:lang w:val="uk-UA"/>
              </w:rPr>
              <w:t xml:space="preserve">0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Type-A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;</w:t>
            </w:r>
          </w:p>
          <w:p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3 Аудіо порти (Line In, Line Out, Mic In)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.</w:t>
            </w:r>
          </w:p>
        </w:tc>
        <w:tc>
          <w:tcPr>
            <w:tcW w:w="14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1.1.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2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Процесор</w:t>
            </w:r>
          </w:p>
        </w:tc>
        <w:tc>
          <w:tcPr>
            <w:tcW w:w="48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Кількість фізичних ядер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не менше ніж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6;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Кількість потоків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не менше ніж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12;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Обсяг кеш пам'яті 3 рівня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не менше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 xml:space="preserve">ніж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Мб;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Базова тактова частота процесора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не менше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ніж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5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ГГц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Максимальна тактова частота у режимі Turbo Boost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не менше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ніж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4,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4</w:t>
            </w:r>
            <w:r>
              <w:rPr>
                <w:rFonts w:hint="default" w:ascii="Times New Roman" w:hAnsi="Times New Roman" w:eastAsia="Times New Roman CYR" w:cs="Times New Roman"/>
                <w:color w:val="000000"/>
                <w:sz w:val="24"/>
                <w:szCs w:val="24"/>
              </w:rPr>
              <w:t>ГГц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.;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uk-UA"/>
              </w:rPr>
              <w:t>Підтримка стандарту пам'яті: DDR4-3200;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Наявність інтегрованого графічного ядра.</w:t>
            </w:r>
          </w:p>
        </w:tc>
        <w:tc>
          <w:tcPr>
            <w:tcW w:w="14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1.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1.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3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Графічний адаптер</w:t>
            </w:r>
          </w:p>
        </w:tc>
        <w:tc>
          <w:tcPr>
            <w:tcW w:w="48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Інтегрований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в процесор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 xml:space="preserve">не гірше за </w:t>
            </w: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uk-UA"/>
              </w:rPr>
              <w:t xml:space="preserve">Intel UHD Graphics 730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або еквівалент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В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икористання дискретного графічного адаптера не допускається.</w:t>
            </w:r>
          </w:p>
        </w:tc>
        <w:tc>
          <w:tcPr>
            <w:tcW w:w="14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</w:p>
          <w:p>
            <w:pPr>
              <w:widowControl w:val="0"/>
              <w:jc w:val="both"/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1.1.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4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Оперативна пам’ять </w:t>
            </w:r>
          </w:p>
        </w:tc>
        <w:tc>
          <w:tcPr>
            <w:tcW w:w="48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Об’єм оперпативної пам’яті- н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е менше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 xml:space="preserve"> ніж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32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Гб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 xml:space="preserve">Тип пам’яті-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  <w:t>DDR4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Частота пам’яті- не менше ніж 3200 МГц;</w:t>
            </w:r>
          </w:p>
        </w:tc>
        <w:tc>
          <w:tcPr>
            <w:tcW w:w="14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  <w:t>1.1.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uk-UA"/>
              </w:rPr>
              <w:t>5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  <w:t>Накопичувач SSD</w:t>
            </w:r>
          </w:p>
        </w:tc>
        <w:tc>
          <w:tcPr>
            <w:tcW w:w="48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  <w:t xml:space="preserve">Об'єм SSD- не менше ніж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/>
              </w:rPr>
              <w:t>480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  <w:t>Гб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uk-UA"/>
              </w:rPr>
              <w:t>.</w:t>
            </w:r>
          </w:p>
        </w:tc>
        <w:tc>
          <w:tcPr>
            <w:tcW w:w="14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1.1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uk-UA"/>
              </w:rPr>
              <w:t>.6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Накопичувач HDD</w:t>
            </w:r>
          </w:p>
        </w:tc>
        <w:tc>
          <w:tcPr>
            <w:tcW w:w="4883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</w:rPr>
              <w:t xml:space="preserve">Об'єм HDD- не менше ніж </w:t>
            </w: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/>
              </w:rPr>
              <w:t>1</w:t>
            </w:r>
            <w:r>
              <w:rPr>
                <w:rFonts w:hint="default" w:ascii="Times New Roman" w:hAnsi="Times New Roman"/>
                <w:sz w:val="24"/>
                <w:szCs w:val="24"/>
                <w:vertAlign w:val="baseline"/>
              </w:rPr>
              <w:t>000Гб</w:t>
            </w: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/>
              </w:rPr>
              <w:t>.</w:t>
            </w:r>
          </w:p>
        </w:tc>
        <w:tc>
          <w:tcPr>
            <w:tcW w:w="14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4"/>
                <w:szCs w:val="24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ru-RU" w:eastAsia="zh-CN" w:bidi="ar"/>
              </w:rPr>
              <w:t>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1.1.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uk-UA"/>
              </w:rPr>
              <w:t>7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/>
                <w:sz w:val="20"/>
                <w:szCs w:val="20"/>
                <w:vertAlign w:val="baseline"/>
              </w:rPr>
              <w:t>Блок живлення</w:t>
            </w:r>
          </w:p>
        </w:tc>
        <w:tc>
          <w:tcPr>
            <w:tcW w:w="4883" w:type="dxa"/>
          </w:tcPr>
          <w:p>
            <w:pPr>
              <w:widowControl w:val="0"/>
              <w:jc w:val="both"/>
              <w:rPr>
                <w:rFonts w:hint="default" w:ascii="Times New Roman" w:hAnsi="Times New Roman"/>
                <w:color w:val="auto"/>
                <w:sz w:val="20"/>
                <w:szCs w:val="20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color w:val="auto"/>
                <w:sz w:val="20"/>
                <w:szCs w:val="20"/>
                <w:vertAlign w:val="baseline"/>
              </w:rPr>
              <w:t xml:space="preserve">Блок живлення: потужністю- не менше ніж </w:t>
            </w:r>
            <w:r>
              <w:rPr>
                <w:rFonts w:hint="default" w:ascii="Times New Roman" w:hAnsi="Times New Roman"/>
                <w:color w:val="auto"/>
                <w:sz w:val="20"/>
                <w:szCs w:val="20"/>
                <w:vertAlign w:val="baseline"/>
                <w:lang w:val="en-US"/>
              </w:rPr>
              <w:t>400</w:t>
            </w:r>
            <w:r>
              <w:rPr>
                <w:rFonts w:hint="default" w:ascii="Times New Roman" w:hAnsi="Times New Roman"/>
                <w:color w:val="auto"/>
                <w:sz w:val="20"/>
                <w:szCs w:val="20"/>
                <w:vertAlign w:val="baseline"/>
              </w:rPr>
              <w:t xml:space="preserve"> Вт</w:t>
            </w:r>
            <w:r>
              <w:rPr>
                <w:rFonts w:hint="default" w:ascii="Times New Roman" w:hAnsi="Times New Roman"/>
                <w:color w:val="auto"/>
                <w:sz w:val="20"/>
                <w:szCs w:val="20"/>
                <w:vertAlign w:val="baseline"/>
                <w:lang w:val="uk-UA"/>
              </w:rPr>
              <w:t>.</w:t>
            </w:r>
          </w:p>
        </w:tc>
        <w:tc>
          <w:tcPr>
            <w:tcW w:w="14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0"/>
                <w:szCs w:val="20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  <w:t>.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  <w:t>1.1.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  <w:t>8</w:t>
            </w:r>
          </w:p>
        </w:tc>
        <w:tc>
          <w:tcPr>
            <w:tcW w:w="1617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/>
                <w:sz w:val="20"/>
                <w:szCs w:val="20"/>
                <w:vertAlign w:val="baseline"/>
              </w:rPr>
              <w:t>Корпус</w:t>
            </w:r>
          </w:p>
        </w:tc>
        <w:tc>
          <w:tcPr>
            <w:tcW w:w="4883" w:type="dxa"/>
          </w:tcPr>
          <w:p>
            <w:pPr>
              <w:widowControl w:val="0"/>
              <w:jc w:val="both"/>
              <w:rPr>
                <w:rFonts w:hint="default" w:ascii="Times New Roman" w:hAnsi="Times New Roman"/>
                <w:color w:val="auto"/>
                <w:sz w:val="20"/>
                <w:szCs w:val="20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color w:val="auto"/>
                <w:sz w:val="20"/>
                <w:szCs w:val="20"/>
                <w:vertAlign w:val="baseline"/>
                <w:lang w:val="uk-UA"/>
              </w:rPr>
              <w:t>Наявність на передній панелі корпусу не менш ніж 2-x роз’ємів USB3.0 Type-A;</w:t>
            </w:r>
          </w:p>
          <w:p>
            <w:pPr>
              <w:widowControl w:val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uk-UA"/>
              </w:rPr>
            </w:pPr>
            <w:r>
              <w:rPr>
                <w:rFonts w:hint="default" w:ascii="Times New Roman" w:hAnsi="Times New Roman"/>
                <w:color w:val="auto"/>
                <w:sz w:val="20"/>
                <w:szCs w:val="20"/>
                <w:vertAlign w:val="baseline"/>
                <w:lang w:val="uk-UA"/>
              </w:rPr>
              <w:t>Наявність на передній панелі корпусу роз’ємів Line-out та Mic-in.</w:t>
            </w:r>
          </w:p>
        </w:tc>
        <w:tc>
          <w:tcPr>
            <w:tcW w:w="1483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0"/>
                <w:szCs w:val="20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  <w:t>.</w:t>
            </w:r>
          </w:p>
          <w:p>
            <w:pPr>
              <w:widowControl w:val="0"/>
              <w:jc w:val="both"/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uk-U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uk-UA"/>
              </w:rPr>
              <w:t>1.1.9</w:t>
            </w:r>
          </w:p>
        </w:tc>
        <w:tc>
          <w:tcPr>
            <w:tcW w:w="1617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eastAsia="Calibri" w:cs="Times New Roman"/>
                <w:sz w:val="20"/>
                <w:szCs w:val="20"/>
                <w:vertAlign w:val="baseline"/>
                <w:lang w:val="uk-UA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uk-UA"/>
              </w:rPr>
              <w:t>Операційна система</w:t>
            </w:r>
          </w:p>
        </w:tc>
        <w:tc>
          <w:tcPr>
            <w:tcW w:w="4883" w:type="dxa"/>
            <w:vAlign w:val="top"/>
          </w:tcPr>
          <w:p>
            <w:pPr>
              <w:widowControl w:val="0"/>
              <w:jc w:val="both"/>
              <w:rPr>
                <w:rFonts w:hint="default" w:ascii="Times New Roman" w:hAnsi="Times New Roman" w:eastAsia="Calibri" w:cs="Times New Roman"/>
                <w:sz w:val="20"/>
                <w:szCs w:val="20"/>
                <w:vertAlign w:val="baseline"/>
                <w:lang w:val="uk-UA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  <w:t>Windows 11 Pro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uk-UA"/>
              </w:rPr>
              <w:t>.</w:t>
            </w:r>
          </w:p>
        </w:tc>
        <w:tc>
          <w:tcPr>
            <w:tcW w:w="148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0"/>
                <w:szCs w:val="20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en-US" w:eastAsia="zh-CN" w:bidi="ar"/>
              </w:rPr>
              <w:t>Наявність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ru-RU" w:eastAsia="zh-CN" w:bidi="ar"/>
              </w:rPr>
              <w:t>.</w:t>
            </w:r>
          </w:p>
          <w:p>
            <w:pPr>
              <w:widowControl w:val="0"/>
              <w:jc w:val="both"/>
              <w:rPr>
                <w:rFonts w:hint="default" w:ascii="Times New Roman" w:hAnsi="Times New Roman" w:eastAsia="Calibri" w:cs="Times New Roman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en-US" w:eastAsia="zh-CN" w:bidi="ar"/>
              </w:rPr>
              <w:t>Відповідність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0"/>
                <w:szCs w:val="20"/>
                <w:lang w:val="uk-UA" w:eastAsia="zh-CN" w:bidi="ar"/>
              </w:rPr>
              <w:t>.</w:t>
            </w:r>
          </w:p>
        </w:tc>
        <w:tc>
          <w:tcPr>
            <w:tcW w:w="1200" w:type="dxa"/>
          </w:tcPr>
          <w:p>
            <w:pPr>
              <w:widowControl w:val="0"/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</w:tbl>
    <w:p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hint="default" w:ascii="Times New Roman" w:hAnsi="Times New Roman"/>
          <w:i w:val="0"/>
          <w:iCs w:val="0"/>
          <w:sz w:val="28"/>
          <w:szCs w:val="28"/>
          <w:lang w:val="uk-UA"/>
        </w:rPr>
      </w:pPr>
    </w:p>
    <w:p>
      <w:pPr>
        <w:pStyle w:val="2"/>
        <w:numPr>
          <w:ilvl w:val="0"/>
          <w:numId w:val="0"/>
        </w:numPr>
        <w:ind w:right="0"/>
        <w:rPr>
          <w:color w:val="0000FF"/>
          <w:sz w:val="24"/>
          <w:szCs w:val="24"/>
        </w:rPr>
      </w:pPr>
    </w:p>
    <w:p>
      <w:pPr>
        <w:pStyle w:val="2"/>
        <w:numPr>
          <w:ilvl w:val="0"/>
          <w:numId w:val="0"/>
        </w:numPr>
        <w:ind w:right="0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5. Умови поставки та приймання</w:t>
      </w:r>
    </w:p>
    <w:p>
      <w:pPr>
        <w:pStyle w:val="2"/>
        <w:numPr>
          <w:ilvl w:val="0"/>
          <w:numId w:val="0"/>
        </w:numPr>
        <w:ind w:right="0"/>
        <w:rPr>
          <w:b w:val="0"/>
          <w:bCs/>
          <w:color w:val="auto"/>
          <w:sz w:val="24"/>
          <w:szCs w:val="24"/>
          <w:highlight w:val="none"/>
        </w:rPr>
      </w:pPr>
      <w:r>
        <w:rPr>
          <w:b w:val="0"/>
          <w:color w:val="auto"/>
          <w:sz w:val="24"/>
          <w:szCs w:val="24"/>
          <w:highlight w:val="none"/>
        </w:rPr>
        <w:t xml:space="preserve">- Місце поставки: </w:t>
      </w:r>
      <w:r>
        <w:rPr>
          <w:b w:val="0"/>
          <w:bCs/>
          <w:color w:val="auto"/>
          <w:sz w:val="24"/>
          <w:szCs w:val="24"/>
          <w:highlight w:val="none"/>
        </w:rPr>
        <w:t>65005, Україна, м. Одеса, вул. Прохоровська, 35</w:t>
      </w:r>
    </w:p>
    <w:p>
      <w:pPr>
        <w:pStyle w:val="2"/>
        <w:numPr>
          <w:ilvl w:val="0"/>
          <w:numId w:val="0"/>
        </w:numPr>
        <w:ind w:right="0"/>
        <w:jc w:val="both"/>
        <w:rPr>
          <w:b w:val="0"/>
          <w:bCs/>
          <w:color w:val="auto"/>
          <w:sz w:val="24"/>
          <w:szCs w:val="24"/>
          <w:highlight w:val="none"/>
        </w:rPr>
      </w:pPr>
      <w:r>
        <w:rPr>
          <w:b w:val="0"/>
          <w:bCs/>
          <w:color w:val="auto"/>
          <w:sz w:val="24"/>
          <w:szCs w:val="24"/>
          <w:highlight w:val="none"/>
        </w:rPr>
        <w:t xml:space="preserve">- Строк поставки: до </w:t>
      </w:r>
      <w:r>
        <w:rPr>
          <w:rFonts w:hint="default"/>
          <w:b w:val="0"/>
          <w:bCs/>
          <w:color w:val="auto"/>
          <w:sz w:val="24"/>
          <w:szCs w:val="24"/>
          <w:highlight w:val="none"/>
          <w:lang w:val="uk-UA"/>
        </w:rPr>
        <w:t>31</w:t>
      </w:r>
      <w:r>
        <w:rPr>
          <w:b w:val="0"/>
          <w:bCs/>
          <w:color w:val="auto"/>
          <w:sz w:val="24"/>
          <w:szCs w:val="24"/>
          <w:highlight w:val="none"/>
        </w:rPr>
        <w:t>.12.2026 року.</w:t>
      </w:r>
    </w:p>
    <w:p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hint="default" w:ascii="Times New Roman" w:hAnsi="Times New Roman"/>
          <w:b w:val="0"/>
          <w:bCs/>
          <w:i/>
          <w:color w:val="auto"/>
          <w:sz w:val="24"/>
          <w:szCs w:val="24"/>
        </w:rPr>
      </w:pPr>
      <w:r>
        <w:rPr>
          <w:rFonts w:hint="default" w:ascii="Times New Roman" w:hAnsi="Times New Roman"/>
          <w:b w:val="0"/>
          <w:bCs/>
          <w:i/>
          <w:color w:val="auto"/>
          <w:sz w:val="24"/>
          <w:szCs w:val="24"/>
        </w:rPr>
        <w:t>Товар поставляється Постачальником протягом 2026 року окремими партіями</w:t>
      </w:r>
    </w:p>
    <w:p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hint="default" w:ascii="Times New Roman" w:hAnsi="Times New Roman"/>
          <w:b w:val="0"/>
          <w:bCs/>
          <w:i/>
          <w:color w:val="auto"/>
          <w:sz w:val="24"/>
          <w:szCs w:val="24"/>
        </w:rPr>
      </w:pPr>
      <w:r>
        <w:rPr>
          <w:rFonts w:hint="default" w:ascii="Times New Roman" w:hAnsi="Times New Roman"/>
          <w:b w:val="0"/>
          <w:bCs/>
          <w:i/>
          <w:color w:val="auto"/>
          <w:sz w:val="24"/>
          <w:szCs w:val="24"/>
        </w:rPr>
        <w:t>(частинами) за потреби та попереднім замовленням Покупця не пізніше 5 (п’яти) робочих днів з</w:t>
      </w:r>
      <w:r>
        <w:rPr>
          <w:rFonts w:hint="default" w:ascii="Times New Roman" w:hAnsi="Times New Roman"/>
          <w:b w:val="0"/>
          <w:bCs/>
          <w:i/>
          <w:color w:val="auto"/>
          <w:sz w:val="24"/>
          <w:szCs w:val="24"/>
          <w:lang w:val="uk-UA"/>
        </w:rPr>
        <w:t xml:space="preserve"> </w:t>
      </w:r>
      <w:r>
        <w:rPr>
          <w:rFonts w:hint="default" w:ascii="Times New Roman" w:hAnsi="Times New Roman"/>
          <w:b w:val="0"/>
          <w:bCs/>
          <w:i/>
          <w:color w:val="auto"/>
          <w:sz w:val="24"/>
          <w:szCs w:val="24"/>
        </w:rPr>
        <w:t>моменту отримання замовлення від Покупця.</w:t>
      </w:r>
    </w:p>
    <w:p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i/>
          <w:color w:val="0000FF"/>
          <w:sz w:val="24"/>
          <w:szCs w:val="24"/>
        </w:rPr>
      </w:pPr>
    </w:p>
    <w:p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Обґрунтування очікуваної вартості предмета закупівлі:</w:t>
      </w:r>
    </w:p>
    <w:p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auto"/>
          <w:spacing w:val="-3"/>
          <w:sz w:val="24"/>
          <w:szCs w:val="24"/>
        </w:rPr>
        <w:t>Очікувана вартість предмету закупівлі розрахована відповідно</w:t>
      </w:r>
      <w:r>
        <w:rPr>
          <w:rFonts w:ascii="Times New Roman" w:hAnsi="Times New Roman" w:cs="Times New Roman"/>
          <w:bCs/>
          <w:iCs/>
          <w:color w:val="0000FF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color w:val="auto"/>
          <w:spacing w:val="-3"/>
          <w:sz w:val="24"/>
          <w:szCs w:val="24"/>
        </w:rPr>
        <w:t xml:space="preserve">до Примірної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від 18.02.2020  № 275. Зокрема було проаналізовано загальнодоступну інформацію щодо цін, яка міститься у відкритих джерелах, а також за рахунок цінових пропозицій постачальників. </w:t>
      </w:r>
      <w:r>
        <w:rPr>
          <w:rFonts w:ascii="Times New Roman" w:hAnsi="Times New Roman" w:cs="Times New Roman"/>
          <w:color w:val="auto"/>
          <w:sz w:val="24"/>
          <w:szCs w:val="24"/>
        </w:rPr>
        <w:t>Очікувана вартість предмета закупівлі у річному плані закупівель визначена з урахуванням податків і зборів, що сплачуються або мають бути сплачені, а також витрат на страхування, транспортування, завантажування, розвантажування та інших витрат, визначених законодавством.</w:t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CYR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A6A95C"/>
    <w:multiLevelType w:val="singleLevel"/>
    <w:tmpl w:val="3EA6A95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5F308C5"/>
    <w:multiLevelType w:val="multilevel"/>
    <w:tmpl w:val="55F308C5"/>
    <w:lvl w:ilvl="0" w:tentative="0">
      <w:start w:val="1"/>
      <w:numFmt w:val="bullet"/>
      <w:pStyle w:val="2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58DD4F36"/>
    <w:multiLevelType w:val="multilevel"/>
    <w:tmpl w:val="58DD4F36"/>
    <w:lvl w:ilvl="0" w:tentative="0">
      <w:start w:val="1"/>
      <w:numFmt w:val="bullet"/>
      <w:pStyle w:val="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764"/>
    <w:rsid w:val="00375B66"/>
    <w:rsid w:val="00410FEC"/>
    <w:rsid w:val="004B0791"/>
    <w:rsid w:val="005379F4"/>
    <w:rsid w:val="005713F6"/>
    <w:rsid w:val="005729E3"/>
    <w:rsid w:val="005859C0"/>
    <w:rsid w:val="005D2E96"/>
    <w:rsid w:val="00657FD1"/>
    <w:rsid w:val="006A29AB"/>
    <w:rsid w:val="007A5551"/>
    <w:rsid w:val="00861973"/>
    <w:rsid w:val="00872764"/>
    <w:rsid w:val="0098084F"/>
    <w:rsid w:val="00A36598"/>
    <w:rsid w:val="00AF2FB9"/>
    <w:rsid w:val="00BC1546"/>
    <w:rsid w:val="00BF5BD6"/>
    <w:rsid w:val="00C0620E"/>
    <w:rsid w:val="00C83D7A"/>
    <w:rsid w:val="00CD3174"/>
    <w:rsid w:val="00CF37A1"/>
    <w:rsid w:val="00D16D90"/>
    <w:rsid w:val="00E316FC"/>
    <w:rsid w:val="00E6684D"/>
    <w:rsid w:val="00EB6891"/>
    <w:rsid w:val="00F978EC"/>
    <w:rsid w:val="00FF7843"/>
    <w:rsid w:val="01BE1DCC"/>
    <w:rsid w:val="09B22322"/>
    <w:rsid w:val="0BCC0442"/>
    <w:rsid w:val="15B15D62"/>
    <w:rsid w:val="21145BF5"/>
    <w:rsid w:val="2FCF261E"/>
    <w:rsid w:val="3C01116A"/>
    <w:rsid w:val="49491110"/>
    <w:rsid w:val="4B797519"/>
    <w:rsid w:val="4CB06303"/>
    <w:rsid w:val="5695205B"/>
    <w:rsid w:val="711F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uk-UA" w:eastAsia="ru-RU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numPr>
        <w:ilvl w:val="0"/>
        <w:numId w:val="1"/>
      </w:numPr>
      <w:suppressAutoHyphens/>
      <w:spacing w:after="0" w:line="240" w:lineRule="auto"/>
      <w:ind w:right="-99"/>
      <w:outlineLvl w:val="0"/>
    </w:pPr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Bullet"/>
    <w:basedOn w:val="1"/>
    <w:unhideWhenUsed/>
    <w:uiPriority w:val="99"/>
    <w:pPr>
      <w:numPr>
        <w:ilvl w:val="0"/>
        <w:numId w:val="2"/>
      </w:numPr>
      <w:ind w:left="0" w:firstLine="0"/>
      <w:contextualSpacing/>
    </w:pPr>
    <w:rPr>
      <w:rFonts w:ascii="Times New Roman" w:hAnsi="Times New Roman" w:eastAsia="MS Mincho" w:cs="Times New Roman"/>
      <w:lang w:val="en-US" w:eastAsia="en-US"/>
    </w:rPr>
  </w:style>
  <w:style w:type="paragraph" w:styleId="6">
    <w:name w:val="Normal (Web)"/>
    <w:basedOn w:val="1"/>
    <w:link w:val="8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7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Звичайний (веб) Знак"/>
    <w:link w:val="6"/>
    <w:locked/>
    <w:uiPriority w:val="99"/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9">
    <w:name w:val="No Spacing"/>
    <w:link w:val="10"/>
    <w:qFormat/>
    <w:uiPriority w:val="99"/>
    <w:pPr>
      <w:suppressAutoHyphens/>
      <w:spacing w:after="0" w:line="240" w:lineRule="auto"/>
    </w:pPr>
    <w:rPr>
      <w:rFonts w:ascii="Calibri" w:hAnsi="Calibri" w:eastAsia="Calibri" w:cs="Times New Roman"/>
      <w:sz w:val="22"/>
      <w:szCs w:val="22"/>
      <w:lang w:val="ru-RU" w:eastAsia="zh-CN" w:bidi="ar-SA"/>
    </w:rPr>
  </w:style>
  <w:style w:type="character" w:customStyle="1" w:styleId="10">
    <w:name w:val="Без інтервалів Знак"/>
    <w:link w:val="9"/>
    <w:uiPriority w:val="99"/>
    <w:rPr>
      <w:rFonts w:ascii="Calibri" w:hAnsi="Calibri" w:eastAsia="Calibri" w:cs="Times New Roman"/>
      <w:lang w:val="ru-RU" w:eastAsia="zh-CN"/>
    </w:rPr>
  </w:style>
  <w:style w:type="character" w:customStyle="1" w:styleId="11">
    <w:name w:val="h-hidden"/>
    <w:uiPriority w:val="0"/>
  </w:style>
  <w:style w:type="paragraph" w:customStyle="1" w:styleId="12">
    <w:name w:val="tex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character" w:customStyle="1" w:styleId="13">
    <w:name w:val="text__weight--600"/>
    <w:basedOn w:val="3"/>
    <w:uiPriority w:val="0"/>
  </w:style>
  <w:style w:type="character" w:customStyle="1" w:styleId="14">
    <w:name w:val="criteria-requirement__item"/>
    <w:basedOn w:val="3"/>
    <w:uiPriority w:val="0"/>
  </w:style>
  <w:style w:type="paragraph" w:styleId="15">
    <w:name w:val="List Paragraph"/>
    <w:basedOn w:val="1"/>
    <w:link w:val="16"/>
    <w:qFormat/>
    <w:uiPriority w:val="34"/>
    <w:pPr>
      <w:widowControl w:val="0"/>
      <w:autoSpaceDE w:val="0"/>
      <w:autoSpaceDN w:val="0"/>
      <w:spacing w:after="0" w:line="360" w:lineRule="auto"/>
      <w:ind w:left="720"/>
      <w:contextualSpacing/>
    </w:pPr>
    <w:rPr>
      <w:rFonts w:ascii="Times New Roman" w:hAnsi="Times New Roman" w:eastAsia="Times New Roman" w:cs="Times New Roman"/>
      <w:sz w:val="24"/>
      <w:szCs w:val="28"/>
      <w:lang w:eastAsia="zh-CN"/>
    </w:rPr>
  </w:style>
  <w:style w:type="character" w:customStyle="1" w:styleId="16">
    <w:name w:val="Абзац списку Знак"/>
    <w:link w:val="15"/>
    <w:qFormat/>
    <w:locked/>
    <w:uiPriority w:val="34"/>
    <w:rPr>
      <w:rFonts w:ascii="Times New Roman" w:hAnsi="Times New Roman" w:eastAsia="Times New Roman" w:cs="Times New Roman"/>
      <w:sz w:val="24"/>
      <w:szCs w:val="28"/>
      <w:lang w:eastAsia="zh-CN"/>
    </w:rPr>
  </w:style>
  <w:style w:type="character" w:customStyle="1" w:styleId="17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sz w:val="28"/>
      <w:szCs w:val="20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6889</Words>
  <Characters>3928</Characters>
  <Lines>32</Lines>
  <Paragraphs>21</Paragraphs>
  <TotalTime>3</TotalTime>
  <ScaleCrop>false</ScaleCrop>
  <LinksUpToDate>false</LinksUpToDate>
  <CharactersWithSpaces>10796</CharactersWithSpaces>
  <Application>WPS Office_11.2.0.9906_F1E327BC-269C-435d-A152-05C5408002CA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2025-07-08T13:48:00Z</dcterms:created>
  <dc:creator>ПК</dc:creator>
  <cp:lastModifiedBy>qqy-schedar</cp:lastModifiedBy>
  <cp:lastPrinted>2026-10-19T13:48:14Z</cp:lastPrinted>
  <dcterms:modified xsi:type="dcterms:W3CDTF">2026-10-19T13:56:16Z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1049-11.2.0.9906</vt:lpwstr>
  </property>
</Properties>
</file>