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b/>
          <w:bCs/>
          <w:sz w:val="24"/>
          <w:szCs w:val="24"/>
          <w:lang w:eastAsia="uk-UA"/>
        </w:rPr>
      </w:pPr>
    </w:p>
    <w:p>
      <w:pPr>
        <w:shd w:val="clear" w:color="auto" w:fill="FFFFFF"/>
        <w:spacing w:after="0" w:line="240" w:lineRule="auto"/>
        <w:jc w:val="center"/>
        <w:rPr>
          <w:rFonts w:hint="default" w:ascii="Times New Roman" w:hAnsi="Times New Roman" w:eastAsia="Times New Roman" w:cs="Times New Roman"/>
          <w:b/>
          <w:bCs/>
          <w:color w:val="auto"/>
          <w:sz w:val="28"/>
          <w:szCs w:val="28"/>
          <w:lang w:eastAsia="uk-UA"/>
        </w:rPr>
      </w:pPr>
      <w:r>
        <w:rPr>
          <w:rFonts w:ascii="Times New Roman" w:hAnsi="Times New Roman" w:eastAsia="Times New Roman" w:cs="Times New Roman"/>
          <w:b/>
          <w:bCs/>
          <w:sz w:val="28"/>
          <w:szCs w:val="28"/>
          <w:lang w:eastAsia="uk-UA"/>
        </w:rPr>
        <w:t>Інформація</w:t>
      </w:r>
      <w:r>
        <w:rPr>
          <w:rFonts w:hint="default" w:ascii="Times New Roman" w:hAnsi="Times New Roman" w:eastAsia="Times New Roman" w:cs="Times New Roman"/>
          <w:b/>
          <w:bCs/>
          <w:color w:val="auto"/>
          <w:sz w:val="28"/>
          <w:szCs w:val="28"/>
          <w:lang w:eastAsia="uk-UA"/>
        </w:rPr>
        <w:t xml:space="preserve"> щодо процедури закупівлі  Одеського НДЕКЦ МВС</w:t>
      </w:r>
    </w:p>
    <w:p>
      <w:pPr>
        <w:shd w:val="clear" w:color="auto" w:fill="FFFFFF"/>
        <w:spacing w:after="0" w:line="240" w:lineRule="auto"/>
        <w:jc w:val="center"/>
        <w:rPr>
          <w:rFonts w:hint="default" w:ascii="Times New Roman" w:hAnsi="Times New Roman" w:eastAsia="Times New Roman" w:cs="Times New Roman"/>
          <w:color w:val="auto"/>
          <w:sz w:val="28"/>
          <w:szCs w:val="28"/>
          <w:lang w:eastAsia="uk-UA"/>
        </w:rPr>
      </w:pPr>
      <w:r>
        <w:rPr>
          <w:rFonts w:hint="default" w:ascii="Times New Roman" w:hAnsi="Times New Roman" w:eastAsia="Times New Roman" w:cs="Times New Roman"/>
          <w:color w:val="auto"/>
          <w:sz w:val="28"/>
          <w:szCs w:val="28"/>
          <w:lang w:eastAsia="uk-UA"/>
        </w:rPr>
        <w:t>на виконанн</w:t>
      </w:r>
      <w:r>
        <w:rPr>
          <w:rFonts w:hint="default" w:ascii="Times New Roman" w:hAnsi="Times New Roman" w:eastAsia="Times New Roman" w:cs="Times New Roman"/>
          <w:color w:val="auto"/>
          <w:sz w:val="28"/>
          <w:szCs w:val="28"/>
          <w:lang w:eastAsia="uk-UA"/>
        </w:rPr>
        <w:t xml:space="preserve">я Постанови </w:t>
      </w:r>
      <w:r>
        <w:rPr>
          <w:rFonts w:hint="default" w:ascii="Times New Roman" w:hAnsi="Times New Roman" w:eastAsia="sans-serif" w:cs="Times New Roman"/>
          <w:i w:val="0"/>
          <w:iCs w:val="0"/>
          <w:caps w:val="0"/>
          <w:color w:val="auto"/>
          <w:spacing w:val="0"/>
          <w:sz w:val="28"/>
          <w:szCs w:val="28"/>
          <w:shd w:val="clear" w:fill="FFFFFF"/>
        </w:rPr>
        <w:t>Кабінету Міністрів України</w:t>
      </w:r>
      <w:r>
        <w:rPr>
          <w:rFonts w:hint="default" w:ascii="Times New Roman" w:hAnsi="Times New Roman" w:eastAsia="Times New Roman" w:cs="Times New Roman"/>
          <w:color w:val="auto"/>
          <w:sz w:val="28"/>
          <w:szCs w:val="28"/>
          <w:lang w:eastAsia="uk-UA"/>
        </w:rPr>
        <w:t xml:space="preserve"> від 11.10.2016 №710 (зі змінами)</w:t>
      </w:r>
    </w:p>
    <w:p>
      <w:pPr>
        <w:shd w:val="clear" w:color="auto" w:fill="FFFFFF"/>
        <w:spacing w:after="0" w:line="240" w:lineRule="auto"/>
        <w:jc w:val="center"/>
        <w:rPr>
          <w:rFonts w:hint="default" w:ascii="Times New Roman" w:hAnsi="Times New Roman" w:eastAsia="Times New Roman" w:cs="Times New Roman"/>
          <w:color w:val="auto"/>
          <w:sz w:val="28"/>
          <w:szCs w:val="28"/>
          <w:lang w:eastAsia="uk-UA"/>
        </w:rPr>
      </w:pPr>
    </w:p>
    <w:tbl>
      <w:tblPr>
        <w:tblStyle w:val="8"/>
        <w:tblW w:w="1579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2000"/>
        <w:gridCol w:w="1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Предмет закупівлі, очікувана вартість</w:t>
            </w:r>
          </w:p>
        </w:tc>
        <w:tc>
          <w:tcPr>
            <w:tcW w:w="2000" w:type="dxa"/>
          </w:tcPr>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Процедура закупівлі та ідентифікатор процедури</w:t>
            </w:r>
          </w:p>
        </w:tc>
        <w:tc>
          <w:tcPr>
            <w:tcW w:w="11541" w:type="dxa"/>
          </w:tcPr>
          <w:p>
            <w:pPr>
              <w:spacing w:after="0" w:line="240" w:lineRule="auto"/>
              <w:jc w:val="center"/>
              <w:rPr>
                <w:rFonts w:ascii="Times New Roman" w:hAnsi="Times New Roman" w:eastAsia="Times New Roman" w:cs="Times New Roman"/>
                <w:b/>
                <w:sz w:val="28"/>
                <w:szCs w:val="28"/>
                <w:lang w:eastAsia="uk-UA"/>
              </w:rPr>
            </w:pPr>
            <w:bookmarkStart w:id="1" w:name="_GoBack"/>
            <w:bookmarkEnd w:id="1"/>
          </w:p>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Обґрунтування технічних та якісних характеристик предмета закупівлі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2256" w:type="dxa"/>
          </w:tcPr>
          <w:p>
            <w:pPr>
              <w:keepNext w:val="0"/>
              <w:keepLines w:val="0"/>
              <w:pageBreakBefore w:val="0"/>
              <w:kinsoku/>
              <w:wordWrap/>
              <w:overflowPunct/>
              <w:topLinePunct w:val="0"/>
              <w:bidi w:val="0"/>
              <w:snapToGrid/>
              <w:spacing w:after="0"/>
              <w:jc w:val="center"/>
              <w:textAlignment w:val="auto"/>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t>Код</w:t>
            </w:r>
            <w:r>
              <w:rPr>
                <w:rFonts w:hint="default" w:ascii="Times New Roman" w:hAnsi="Times New Roman" w:eastAsia="Arial" w:cs="Times New Roman"/>
                <w:b/>
                <w:bCs/>
                <w:i w:val="0"/>
                <w:iCs w:val="0"/>
                <w:caps w:val="0"/>
                <w:color w:val="000000" w:themeColor="text1"/>
                <w:spacing w:val="0"/>
                <w:sz w:val="24"/>
                <w:szCs w:val="24"/>
                <w14:textFill>
                  <w14:solidFill>
                    <w14:schemeClr w14:val="tx1"/>
                  </w14:solidFill>
                </w14:textFill>
              </w:rPr>
              <w:t> ДК 021:2015:30120000-6: Фотокопіювальне та поліграфічне обладна</w:t>
            </w:r>
            <w:r>
              <w:rPr>
                <w:rFonts w:hint="default" w:ascii="Times New Roman" w:hAnsi="Times New Roman" w:eastAsia="Arial" w:cs="Times New Roman"/>
                <w:b/>
                <w:bCs/>
                <w:i w:val="0"/>
                <w:iCs w:val="0"/>
                <w:caps w:val="0"/>
                <w:color w:val="000000" w:themeColor="text1"/>
                <w:spacing w:val="0"/>
                <w:sz w:val="24"/>
                <w:szCs w:val="24"/>
                <w14:textFill>
                  <w14:solidFill>
                    <w14:schemeClr w14:val="tx1"/>
                  </w14:solidFill>
                </w14:textFill>
              </w:rPr>
              <w:t>ння для офсетного друку</w:t>
            </w:r>
            <w: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t xml:space="preserve"> (</w:t>
            </w:r>
            <w:r>
              <w:rPr>
                <w:rFonts w:hint="default" w:ascii="Times New Roman" w:hAnsi="Times New Roman" w:cs="Times New Roman"/>
                <w:b/>
                <w:bCs/>
                <w:i w:val="0"/>
                <w:iCs w:val="0"/>
                <w:sz w:val="24"/>
                <w:szCs w:val="24"/>
                <w:lang w:val="uk-UA"/>
              </w:rPr>
              <w:t>«</w:t>
            </w:r>
            <w:r>
              <w:rPr>
                <w:rFonts w:hint="default" w:ascii="Times New Roman" w:hAnsi="Times New Roman" w:eastAsia="Arial" w:cs="Times New Roman"/>
                <w:b/>
                <w:bCs/>
                <w:i w:val="0"/>
                <w:iCs w:val="0"/>
                <w:sz w:val="24"/>
                <w:szCs w:val="24"/>
                <w:lang w:val="uk-UA"/>
              </w:rPr>
              <w:t xml:space="preserve">Картриджі та витратні матеріали для багатофункціональних принтерів </w:t>
            </w:r>
            <w:r>
              <w:rPr>
                <w:rFonts w:hint="default" w:ascii="Times New Roman" w:hAnsi="Times New Roman" w:cs="Times New Roman"/>
                <w:b/>
                <w:bCs/>
                <w:i w:val="0"/>
                <w:iCs w:val="0"/>
                <w:sz w:val="24"/>
                <w:szCs w:val="24"/>
                <w:shd w:val="clear" w:color="auto" w:fill="FFFFFF"/>
              </w:rPr>
              <w:t>Xerox</w:t>
            </w:r>
            <w:r>
              <w:rPr>
                <w:rFonts w:hint="default" w:ascii="Times New Roman" w:hAnsi="Times New Roman" w:cs="Times New Roman"/>
                <w:b/>
                <w:bCs/>
                <w:i w:val="0"/>
                <w:iCs w:val="0"/>
                <w:sz w:val="24"/>
                <w:szCs w:val="24"/>
                <w:shd w:val="clear" w:color="auto" w:fill="FFFFFF"/>
                <w:lang w:val="uk-UA"/>
              </w:rPr>
              <w:t>»</w:t>
            </w:r>
            <w:r>
              <w:rPr>
                <w:rFonts w:hint="default" w:ascii="Times New Roman" w:hAnsi="Times New Roman" w:cs="Times New Roman"/>
                <w:b/>
                <w:bCs/>
                <w:i w:val="0"/>
                <w:iCs w:val="0"/>
                <w:color w:val="000000"/>
                <w:sz w:val="24"/>
                <w:szCs w:val="24"/>
                <w:shd w:val="clear" w:color="auto" w:fill="FFFFFF"/>
                <w:lang w:val="uk-UA"/>
              </w:rPr>
              <w:t>)</w:t>
            </w:r>
          </w:p>
          <w:p>
            <w:pPr>
              <w:pStyle w:val="2"/>
              <w:keepNext w:val="0"/>
              <w:keepLines w:val="0"/>
              <w:pageBreakBefore w:val="0"/>
              <w:kinsoku/>
              <w:wordWrap/>
              <w:overflowPunct/>
              <w:topLinePunct w:val="0"/>
              <w:bidi w:val="0"/>
              <w:snapToGrid/>
              <w:spacing w:before="0" w:after="0"/>
              <w:textAlignment w:val="auto"/>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pPr>
          </w:p>
          <w:p>
            <w:pPr>
              <w:keepNext w:val="0"/>
              <w:keepLines w:val="0"/>
              <w:pageBreakBefore w:val="0"/>
              <w:tabs>
                <w:tab w:val="left" w:pos="9781"/>
              </w:tabs>
              <w:kinsoku/>
              <w:wordWrap/>
              <w:overflowPunct/>
              <w:topLinePunct w:val="0"/>
              <w:bidi w:val="0"/>
              <w:snapToGrid/>
              <w:spacing w:after="0"/>
              <w:jc w:val="center"/>
              <w:textAlignment w:val="auto"/>
              <w:rPr>
                <w:rFonts w:hint="default" w:ascii="Times New Roman" w:hAnsi="Times New Roman" w:eastAsia="Times New Roman" w:cs="Times New Roman"/>
                <w:b/>
                <w:sz w:val="24"/>
                <w:szCs w:val="24"/>
                <w:lang w:val="en-US" w:eastAsia="uk-UA"/>
              </w:rPr>
            </w:pPr>
            <w:r>
              <w:rPr>
                <w:rFonts w:hint="default" w:ascii="Times New Roman" w:hAnsi="Times New Roman" w:eastAsia="Arial" w:cs="Times New Roman"/>
                <w:b/>
                <w:bCs/>
                <w:i w:val="0"/>
                <w:iCs w:val="0"/>
                <w:caps w:val="0"/>
                <w:color w:val="000000" w:themeColor="text1"/>
                <w:spacing w:val="0"/>
                <w:sz w:val="24"/>
                <w:szCs w:val="24"/>
                <w:lang w:val="uk-UA"/>
                <w14:textFill>
                  <w14:solidFill>
                    <w14:schemeClr w14:val="tx1"/>
                  </w14:solidFill>
                </w14:textFill>
              </w:rPr>
              <w:t xml:space="preserve">354 594, </w:t>
            </w:r>
            <w:r>
              <w:rPr>
                <w:rFonts w:hint="default" w:ascii="Times New Roman" w:hAnsi="Times New Roman" w:eastAsia="Times New Roman" w:cs="Times New Roman"/>
                <w:b/>
                <w:sz w:val="24"/>
                <w:szCs w:val="24"/>
                <w:lang w:val="en-US" w:eastAsia="uk-UA"/>
              </w:rPr>
              <w:t>00 грн з ПДВ</w:t>
            </w:r>
          </w:p>
        </w:tc>
        <w:tc>
          <w:tcPr>
            <w:tcW w:w="2000"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24"/>
                <w:szCs w:val="24"/>
                <w:lang w:eastAsia="uk-UA"/>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24"/>
                <w:szCs w:val="24"/>
                <w:lang w:val="ru-RU" w:eastAsia="uk-UA"/>
              </w:rPr>
            </w:pPr>
            <w:r>
              <w:rPr>
                <w:rFonts w:hint="default" w:ascii="Times New Roman" w:hAnsi="Times New Roman" w:cs="Times New Roman"/>
                <w:b/>
                <w:bCs/>
                <w:sz w:val="24"/>
                <w:szCs w:val="24"/>
                <w:lang w:eastAsia="uk-UA"/>
              </w:rPr>
              <w:t>Відкриті то</w:t>
            </w:r>
            <w:r>
              <w:rPr>
                <w:rFonts w:hint="default" w:ascii="Times New Roman" w:hAnsi="Times New Roman" w:cs="Times New Roman"/>
                <w:b/>
                <w:bCs/>
                <w:sz w:val="24"/>
                <w:szCs w:val="24"/>
                <w:lang w:eastAsia="uk-UA"/>
              </w:rPr>
              <w:t>рги з особливостями</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24"/>
                <w:szCs w:val="24"/>
                <w:lang w:val="ru-RU" w:eastAsia="uk-UA"/>
              </w:rPr>
            </w:pP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24"/>
                <w:szCs w:val="24"/>
                <w:lang w:eastAsia="uk-UA"/>
              </w:rPr>
            </w:pPr>
            <w:r>
              <w:rPr>
                <w:rFonts w:hint="default" w:ascii="Times New Roman" w:hAnsi="Times New Roman" w:cs="Times New Roman"/>
                <w:b/>
                <w:bCs/>
                <w:sz w:val="24"/>
                <w:szCs w:val="24"/>
                <w:lang w:eastAsia="uk-UA"/>
              </w:rPr>
              <w:t>UA-</w:t>
            </w:r>
            <w:r>
              <w:rPr>
                <w:rFonts w:hint="default" w:ascii="Times New Roman" w:hAnsi="Times New Roman" w:cs="Times New Roman"/>
                <w:b/>
                <w:bCs/>
                <w:sz w:val="24"/>
                <w:szCs w:val="24"/>
                <w:lang w:val="en-US" w:eastAsia="uk-UA"/>
              </w:rPr>
              <w:t>2025-08-22-004950-а</w:t>
            </w:r>
          </w:p>
          <w:p>
            <w:pPr>
              <w:keepNext w:val="0"/>
              <w:keepLines w:val="0"/>
              <w:pageBreakBefore w:val="0"/>
              <w:kinsoku/>
              <w:wordWrap/>
              <w:overflowPunct/>
              <w:topLinePunct w:val="0"/>
              <w:bidi w:val="0"/>
              <w:snapToGrid/>
              <w:spacing w:after="0" w:line="240" w:lineRule="auto"/>
              <w:jc w:val="center"/>
              <w:textAlignment w:val="auto"/>
              <w:rPr>
                <w:sz w:val="24"/>
                <w:szCs w:val="24"/>
                <w:lang w:val="ru-RU" w:eastAsia="uk-UA"/>
              </w:rPr>
            </w:pPr>
          </w:p>
          <w:p>
            <w:pPr>
              <w:pStyle w:val="2"/>
              <w:keepNext w:val="0"/>
              <w:keepLines w:val="0"/>
              <w:pageBreakBefore w:val="0"/>
              <w:kinsoku/>
              <w:wordWrap/>
              <w:overflowPunct/>
              <w:topLinePunct w:val="0"/>
              <w:bidi w:val="0"/>
              <w:snapToGrid/>
              <w:spacing w:before="0" w:after="0"/>
              <w:textAlignment w:val="auto"/>
              <w:rPr>
                <w:lang w:val="ru-RU" w:eastAsia="uk-UA"/>
              </w:rPr>
            </w:pPr>
          </w:p>
        </w:tc>
        <w:tc>
          <w:tcPr>
            <w:tcW w:w="11541" w:type="dxa"/>
          </w:tcPr>
          <w:p>
            <w:pPr>
              <w:keepNext w:val="0"/>
              <w:keepLines w:val="0"/>
              <w:pageBreakBefore w:val="0"/>
              <w:widowControl w:val="0"/>
              <w:kinsoku/>
              <w:wordWrap/>
              <w:overflowPunct/>
              <w:topLinePunct w:val="0"/>
              <w:bidi w:val="0"/>
              <w:snapToGrid/>
              <w:spacing w:after="0"/>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bookmarkStart w:id="0" w:name="_Hlk145338040"/>
            <w:r>
              <w:rPr>
                <w:rFonts w:hint="default" w:ascii="Times New Roman" w:hAnsi="Times New Roman" w:cs="Times New Roman"/>
                <w:b/>
                <w:bCs w:val="0"/>
                <w:color w:val="000000" w:themeColor="text1"/>
                <w:sz w:val="24"/>
                <w:szCs w:val="24"/>
                <w14:textFill>
                  <w14:solidFill>
                    <w14:schemeClr w14:val="tx1"/>
                  </w14:solidFill>
                </w14:textFill>
              </w:rPr>
              <w:t>ІНФОРМАЦІЯ ПРО НЕОБХІДНІ ТЕХНІЧНІ,</w:t>
            </w:r>
          </w:p>
          <w:p>
            <w:pPr>
              <w:keepNext w:val="0"/>
              <w:keepLines w:val="0"/>
              <w:pageBreakBefore w:val="0"/>
              <w:widowControl w:val="0"/>
              <w:kinsoku/>
              <w:wordWrap/>
              <w:overflowPunct/>
              <w:topLinePunct w:val="0"/>
              <w:bidi w:val="0"/>
              <w:snapToGrid/>
              <w:spacing w:after="0"/>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ЯКІСНІ ТА ІНШІ ХАРАКТЕРИСТИКИ ПРЕДМЕТА ЗАКУПІВЛІ</w:t>
            </w:r>
            <w:bookmarkEnd w:id="0"/>
          </w:p>
          <w:p>
            <w:pPr>
              <w:keepNext w:val="0"/>
              <w:keepLines w:val="0"/>
              <w:pageBreakBefore w:val="0"/>
              <w:kinsoku/>
              <w:wordWrap/>
              <w:overflowPunct/>
              <w:topLinePunct w:val="0"/>
              <w:bidi w:val="0"/>
              <w:snapToGrid/>
              <w:spacing w:after="0"/>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Загальні вимоги до предмету закупівлі:</w:t>
            </w:r>
            <w:r>
              <w:rPr>
                <w:rFonts w:hint="default" w:ascii="Times New Roman" w:hAnsi="Times New Roman" w:cs="Times New Roman"/>
                <w:b/>
                <w:bCs w:val="0"/>
                <w:color w:val="000000" w:themeColor="text1"/>
                <w:sz w:val="24"/>
                <w:szCs w:val="24"/>
                <w:lang w:val="ru-RU"/>
                <w14:textFill>
                  <w14:solidFill>
                    <w14:schemeClr w14:val="tx1"/>
                  </w14:solidFill>
                </w14:textFill>
              </w:rPr>
              <w:t xml:space="preserve">                                                                                                                                                                                              </w:t>
            </w:r>
            <w:r>
              <w:rPr>
                <w:rFonts w:hint="default" w:ascii="Times New Roman" w:hAnsi="Times New Roman" w:cs="Times New Roman"/>
                <w:b/>
                <w:bCs w:val="0"/>
                <w:color w:val="000000" w:themeColor="text1"/>
                <w:sz w:val="24"/>
                <w:szCs w:val="24"/>
                <w14:textFill>
                  <w14:solidFill>
                    <w14:schemeClr w14:val="tx1"/>
                  </w14:solidFill>
                </w14:textFill>
              </w:rPr>
              <w:t xml:space="preserve">                        </w:t>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ab/>
            </w:r>
            <w:r>
              <w:rPr>
                <w:rFonts w:hint="default" w:ascii="Times New Roman" w:hAnsi="Times New Roman" w:cs="Times New Roman"/>
                <w:b/>
                <w:bCs w:val="0"/>
                <w:color w:val="000000" w:themeColor="text1"/>
                <w:sz w:val="24"/>
                <w:szCs w:val="24"/>
                <w14:textFill>
                  <w14:solidFill>
                    <w14:schemeClr w14:val="tx1"/>
                  </w14:solidFill>
                </w14:textFill>
              </w:rPr>
              <w:t>Таблиця 1</w:t>
            </w:r>
          </w:p>
          <w:tbl>
            <w:tblPr>
              <w:tblStyle w:val="5"/>
              <w:tblW w:w="11030" w:type="dxa"/>
              <w:tblCellSpacing w:w="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0" w:type="dxa"/>
                <w:bottom w:w="0" w:type="dxa"/>
                <w:right w:w="0" w:type="dxa"/>
              </w:tblCellMar>
            </w:tblPr>
            <w:tblGrid>
              <w:gridCol w:w="625"/>
              <w:gridCol w:w="1445"/>
              <w:gridCol w:w="4170"/>
              <w:gridCol w:w="2330"/>
              <w:gridCol w:w="122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951" w:hRule="atLeast"/>
                <w:tblCellSpacing w:w="0" w:type="dxa"/>
              </w:trPr>
              <w:tc>
                <w:tcPr>
                  <w:tcW w:w="625" w:type="dxa"/>
                  <w:shd w:val="clear" w:color="auto" w:fill="EBEBEB"/>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w:t>
                  </w:r>
                </w:p>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з/п</w:t>
                  </w:r>
                </w:p>
              </w:tc>
              <w:tc>
                <w:tcPr>
                  <w:tcW w:w="1445" w:type="dxa"/>
                  <w:shd w:val="clear" w:color="auto" w:fill="EBEBEB"/>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Коди виробників товару*</w:t>
                  </w:r>
                </w:p>
              </w:tc>
              <w:tc>
                <w:tcPr>
                  <w:tcW w:w="4170" w:type="dxa"/>
                  <w:shd w:val="clear" w:color="auto" w:fill="EBEBEB"/>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Найменування товару, технічні характеристики**</w:t>
                  </w:r>
                </w:p>
              </w:tc>
              <w:tc>
                <w:tcPr>
                  <w:tcW w:w="2330" w:type="dxa"/>
                  <w:shd w:val="clear" w:color="auto" w:fill="EBEBEB"/>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Сумісність з обладнанням Замовника</w:t>
                  </w:r>
                </w:p>
              </w:tc>
              <w:tc>
                <w:tcPr>
                  <w:tcW w:w="1220" w:type="dxa"/>
                  <w:shd w:val="clear" w:color="auto" w:fill="EBEBEB"/>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Кількість</w:t>
                  </w:r>
                </w:p>
              </w:tc>
              <w:tc>
                <w:tcPr>
                  <w:tcW w:w="1240" w:type="dxa"/>
                  <w:shd w:val="clear" w:color="auto" w:fill="EBEBEB"/>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Одиниця виміру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586"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106R03745</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lang w:val="uk-UA"/>
                    </w:rPr>
                  </w:pPr>
                  <w:r>
                    <w:rPr>
                      <w:rFonts w:hint="default" w:ascii="Times New Roman" w:hAnsi="Times New Roman" w:cs="Times New Roman"/>
                      <w:sz w:val="24"/>
                      <w:szCs w:val="24"/>
                    </w:rPr>
                    <w:t>Тонер картридж Xerox VL C7020/7025/7030 Black (23600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widowControl w:val="0"/>
                    <w:kinsoku/>
                    <w:wordWrap/>
                    <w:overflowPunct/>
                    <w:topLinePunct w:val="0"/>
                    <w:bidi w:val="0"/>
                    <w:snapToGrid/>
                    <w:spacing w:before="0" w:beforeAutospacing="0" w:after="0" w:afterAutospacing="0"/>
                    <w:ind w:firstLine="22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shd w:val="clear" w:color="auto" w:fill="FFFFFF"/>
                    </w:rPr>
                    <w:t xml:space="preserve">Xerox Versalink </w:t>
                  </w:r>
                  <w:r>
                    <w:rPr>
                      <w:rFonts w:hint="default" w:ascii="Times New Roman" w:hAnsi="Times New Roman" w:cs="Times New Roman"/>
                      <w:sz w:val="24"/>
                      <w:szCs w:val="24"/>
                    </w:rPr>
                    <w:t>C7020/7025/7030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20</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106R03748</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картридж Xerox VL C7020/7025/7030 Cyan (16500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widowControl w:val="0"/>
                    <w:kinsoku/>
                    <w:wordWrap/>
                    <w:overflowPunct/>
                    <w:topLinePunct w:val="0"/>
                    <w:bidi w:val="0"/>
                    <w:snapToGrid/>
                    <w:spacing w:before="0" w:beforeAutospacing="0" w:after="0" w:afterAutospacing="0"/>
                    <w:ind w:firstLine="22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shd w:val="clear" w:color="auto" w:fill="FFFFFF"/>
                    </w:rPr>
                    <w:t xml:space="preserve">Xerox Versalink </w:t>
                  </w:r>
                  <w:r>
                    <w:rPr>
                      <w:rFonts w:hint="default" w:ascii="Times New Roman" w:hAnsi="Times New Roman" w:cs="Times New Roman"/>
                      <w:sz w:val="24"/>
                      <w:szCs w:val="24"/>
                    </w:rPr>
                    <w:t>C7020/7025/7030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6</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106R03747</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картрирдж Xerox VL C7020/7025/7030 Magenta (16500 стр.)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widowControl w:val="0"/>
                    <w:kinsoku/>
                    <w:wordWrap/>
                    <w:overflowPunct/>
                    <w:topLinePunct w:val="0"/>
                    <w:bidi w:val="0"/>
                    <w:snapToGrid/>
                    <w:spacing w:before="0" w:beforeAutospacing="0" w:after="0" w:afterAutospacing="0"/>
                    <w:ind w:firstLine="22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shd w:val="clear" w:color="auto" w:fill="FFFFFF"/>
                    </w:rPr>
                    <w:t xml:space="preserve">Xerox Versalink </w:t>
                  </w:r>
                  <w:r>
                    <w:rPr>
                      <w:rFonts w:hint="default" w:ascii="Times New Roman" w:hAnsi="Times New Roman" w:cs="Times New Roman"/>
                      <w:sz w:val="24"/>
                      <w:szCs w:val="24"/>
                    </w:rPr>
                    <w:t>C7020/7025/7030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8</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31"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106R03746</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картридж Xerox VL C7020/7025/7030 Yellow (16500 стр.)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widowControl w:val="0"/>
                    <w:kinsoku/>
                    <w:wordWrap/>
                    <w:overflowPunct/>
                    <w:topLinePunct w:val="0"/>
                    <w:bidi w:val="0"/>
                    <w:snapToGrid/>
                    <w:spacing w:before="0" w:beforeAutospacing="0" w:after="0" w:afterAutospacing="0"/>
                    <w:ind w:firstLine="22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shd w:val="clear" w:color="auto" w:fill="FFFFFF"/>
                    </w:rPr>
                    <w:t xml:space="preserve">Xerox Versalink </w:t>
                  </w:r>
                  <w:r>
                    <w:rPr>
                      <w:rFonts w:hint="default" w:ascii="Times New Roman" w:hAnsi="Times New Roman" w:cs="Times New Roman"/>
                      <w:sz w:val="24"/>
                      <w:szCs w:val="24"/>
                    </w:rPr>
                    <w:t>C7020/7025/7030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6</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5</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006R01828</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картридж Xerox VL C7120/С7125/С7130 Black (31 300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eastAsia="SimSun" w:cs="Times New Roman"/>
                      <w:b/>
                      <w:sz w:val="24"/>
                      <w:szCs w:val="24"/>
                      <w:shd w:val="clear" w:color="auto" w:fill="FFFFFF"/>
                    </w:rPr>
                    <w:t xml:space="preserve">Xerox VersaLink </w:t>
                  </w:r>
                  <w:r>
                    <w:rPr>
                      <w:rFonts w:hint="default" w:ascii="Times New Roman" w:hAnsi="Times New Roman" w:cs="Times New Roman"/>
                      <w:sz w:val="24"/>
                      <w:szCs w:val="24"/>
                    </w:rPr>
                    <w:t>C7120/С7125/С7130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12</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6</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006R01829</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картридж Xerox VL C7120/С7125/С7130 Cyan (18 500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keepNext w:val="0"/>
                    <w:keepLines w:val="0"/>
                    <w:pageBreakBefore w:val="0"/>
                    <w:kinsoku/>
                    <w:wordWrap/>
                    <w:overflowPunct/>
                    <w:topLinePunct w:val="0"/>
                    <w:bidi w:val="0"/>
                    <w:snapToGrid/>
                    <w:spacing w:after="0"/>
                    <w:jc w:val="center"/>
                    <w:textAlignment w:val="auto"/>
                    <w:rPr>
                      <w:rFonts w:hint="default" w:ascii="Times New Roman" w:hAnsi="Times New Roman" w:cs="Times New Roman"/>
                      <w:b/>
                      <w:sz w:val="24"/>
                      <w:szCs w:val="24"/>
                      <w:lang w:val="en-US"/>
                    </w:rPr>
                  </w:pPr>
                  <w:r>
                    <w:rPr>
                      <w:rFonts w:hint="default" w:ascii="Times New Roman" w:hAnsi="Times New Roman" w:eastAsia="SimSun" w:cs="Times New Roman"/>
                      <w:b/>
                      <w:sz w:val="24"/>
                      <w:szCs w:val="24"/>
                      <w:shd w:val="clear" w:color="auto" w:fill="FFFFFF"/>
                      <w:lang w:val="en-US"/>
                    </w:rPr>
                    <w:t xml:space="preserve">Xerox VersaLink </w:t>
                  </w:r>
                  <w:r>
                    <w:rPr>
                      <w:rFonts w:hint="default" w:ascii="Times New Roman" w:hAnsi="Times New Roman" w:cs="Times New Roman"/>
                      <w:sz w:val="24"/>
                      <w:szCs w:val="24"/>
                      <w:lang w:val="en-US"/>
                    </w:rPr>
                    <w:t>C7120/</w:t>
                  </w:r>
                  <w:r>
                    <w:rPr>
                      <w:rFonts w:hint="default" w:ascii="Times New Roman" w:hAnsi="Times New Roman" w:cs="Times New Roman"/>
                      <w:sz w:val="24"/>
                      <w:szCs w:val="24"/>
                    </w:rPr>
                    <w:t>С</w:t>
                  </w:r>
                  <w:r>
                    <w:rPr>
                      <w:rFonts w:hint="default" w:ascii="Times New Roman" w:hAnsi="Times New Roman" w:cs="Times New Roman"/>
                      <w:sz w:val="24"/>
                      <w:szCs w:val="24"/>
                      <w:lang w:val="en-US"/>
                    </w:rPr>
                    <w:t>7125/</w:t>
                  </w:r>
                  <w:r>
                    <w:rPr>
                      <w:rFonts w:hint="default" w:ascii="Times New Roman" w:hAnsi="Times New Roman" w:cs="Times New Roman"/>
                      <w:sz w:val="24"/>
                      <w:szCs w:val="24"/>
                    </w:rPr>
                    <w:t>С</w:t>
                  </w:r>
                  <w:r>
                    <w:rPr>
                      <w:rFonts w:hint="default" w:ascii="Times New Roman" w:hAnsi="Times New Roman" w:cs="Times New Roman"/>
                      <w:sz w:val="24"/>
                      <w:szCs w:val="24"/>
                      <w:lang w:val="en-US"/>
                    </w:rPr>
                    <w:t>7130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7</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006R01830</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картридж Xerox VL C7120/С7125/С7130 Magenta (18 500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keepNext w:val="0"/>
                    <w:keepLines w:val="0"/>
                    <w:pageBreakBefore w:val="0"/>
                    <w:kinsoku/>
                    <w:wordWrap/>
                    <w:overflowPunct/>
                    <w:topLinePunct w:val="0"/>
                    <w:bidi w:val="0"/>
                    <w:snapToGrid/>
                    <w:spacing w:after="0"/>
                    <w:jc w:val="center"/>
                    <w:textAlignment w:val="auto"/>
                    <w:rPr>
                      <w:rFonts w:hint="default" w:ascii="Times New Roman" w:hAnsi="Times New Roman" w:cs="Times New Roman"/>
                      <w:b/>
                      <w:sz w:val="24"/>
                      <w:szCs w:val="24"/>
                      <w:lang w:val="en-US"/>
                    </w:rPr>
                  </w:pPr>
                  <w:r>
                    <w:rPr>
                      <w:rFonts w:hint="default" w:ascii="Times New Roman" w:hAnsi="Times New Roman" w:eastAsia="SimSun" w:cs="Times New Roman"/>
                      <w:b/>
                      <w:sz w:val="24"/>
                      <w:szCs w:val="24"/>
                      <w:shd w:val="clear" w:color="auto" w:fill="FFFFFF"/>
                      <w:lang w:val="en-US"/>
                    </w:rPr>
                    <w:t xml:space="preserve">Xerox VersaLink </w:t>
                  </w:r>
                  <w:r>
                    <w:rPr>
                      <w:rFonts w:hint="default" w:ascii="Times New Roman" w:hAnsi="Times New Roman" w:cs="Times New Roman"/>
                      <w:sz w:val="24"/>
                      <w:szCs w:val="24"/>
                      <w:lang w:val="en-US"/>
                    </w:rPr>
                    <w:t>C7120/</w:t>
                  </w:r>
                  <w:r>
                    <w:rPr>
                      <w:rFonts w:hint="default" w:ascii="Times New Roman" w:hAnsi="Times New Roman" w:cs="Times New Roman"/>
                      <w:sz w:val="24"/>
                      <w:szCs w:val="24"/>
                    </w:rPr>
                    <w:t>С</w:t>
                  </w:r>
                  <w:r>
                    <w:rPr>
                      <w:rFonts w:hint="default" w:ascii="Times New Roman" w:hAnsi="Times New Roman" w:cs="Times New Roman"/>
                      <w:sz w:val="24"/>
                      <w:szCs w:val="24"/>
                      <w:lang w:val="en-US"/>
                    </w:rPr>
                    <w:t>7125/</w:t>
                  </w:r>
                  <w:r>
                    <w:rPr>
                      <w:rFonts w:hint="default" w:ascii="Times New Roman" w:hAnsi="Times New Roman" w:cs="Times New Roman"/>
                      <w:sz w:val="24"/>
                      <w:szCs w:val="24"/>
                    </w:rPr>
                    <w:t>С</w:t>
                  </w:r>
                  <w:r>
                    <w:rPr>
                      <w:rFonts w:hint="default" w:ascii="Times New Roman" w:hAnsi="Times New Roman" w:cs="Times New Roman"/>
                      <w:sz w:val="24"/>
                      <w:szCs w:val="24"/>
                      <w:lang w:val="en-US"/>
                    </w:rPr>
                    <w:t>7130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8</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8</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006R01831</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Тонер картридж Xerox VL C7120/С7125/С7130 Yellow (18 500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keepNext w:val="0"/>
                    <w:keepLines w:val="0"/>
                    <w:pageBreakBefore w:val="0"/>
                    <w:kinsoku/>
                    <w:wordWrap/>
                    <w:overflowPunct/>
                    <w:topLinePunct w:val="0"/>
                    <w:bidi w:val="0"/>
                    <w:snapToGrid/>
                    <w:spacing w:after="0"/>
                    <w:jc w:val="center"/>
                    <w:textAlignment w:val="auto"/>
                    <w:rPr>
                      <w:rFonts w:hint="default" w:ascii="Times New Roman" w:hAnsi="Times New Roman" w:cs="Times New Roman"/>
                      <w:b/>
                      <w:sz w:val="24"/>
                      <w:szCs w:val="24"/>
                      <w:lang w:val="en-US"/>
                    </w:rPr>
                  </w:pPr>
                  <w:r>
                    <w:rPr>
                      <w:rFonts w:hint="default" w:ascii="Times New Roman" w:hAnsi="Times New Roman" w:eastAsia="SimSun" w:cs="Times New Roman"/>
                      <w:b/>
                      <w:sz w:val="24"/>
                      <w:szCs w:val="24"/>
                      <w:shd w:val="clear" w:color="auto" w:fill="FFFFFF"/>
                      <w:lang w:val="en-US"/>
                    </w:rPr>
                    <w:t xml:space="preserve">Xerox VersaLink </w:t>
                  </w:r>
                  <w:r>
                    <w:rPr>
                      <w:rFonts w:hint="default" w:ascii="Times New Roman" w:hAnsi="Times New Roman" w:cs="Times New Roman"/>
                      <w:sz w:val="24"/>
                      <w:szCs w:val="24"/>
                      <w:lang w:val="en-US"/>
                    </w:rPr>
                    <w:t>C7120/</w:t>
                  </w:r>
                  <w:r>
                    <w:rPr>
                      <w:rFonts w:hint="default" w:ascii="Times New Roman" w:hAnsi="Times New Roman" w:cs="Times New Roman"/>
                      <w:sz w:val="24"/>
                      <w:szCs w:val="24"/>
                    </w:rPr>
                    <w:t>С</w:t>
                  </w:r>
                  <w:r>
                    <w:rPr>
                      <w:rFonts w:hint="default" w:ascii="Times New Roman" w:hAnsi="Times New Roman" w:cs="Times New Roman"/>
                      <w:sz w:val="24"/>
                      <w:szCs w:val="24"/>
                      <w:lang w:val="en-US"/>
                    </w:rPr>
                    <w:t>7125/</w:t>
                  </w:r>
                  <w:r>
                    <w:rPr>
                      <w:rFonts w:hint="default" w:ascii="Times New Roman" w:hAnsi="Times New Roman" w:cs="Times New Roman"/>
                      <w:sz w:val="24"/>
                      <w:szCs w:val="24"/>
                    </w:rPr>
                    <w:t>С</w:t>
                  </w:r>
                  <w:r>
                    <w:rPr>
                      <w:rFonts w:hint="default" w:ascii="Times New Roman" w:hAnsi="Times New Roman" w:cs="Times New Roman"/>
                      <w:sz w:val="24"/>
                      <w:szCs w:val="24"/>
                      <w:lang w:val="en-US"/>
                    </w:rPr>
                    <w:t>7130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48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9</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115R00126</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Вузол ролика 2-го переносу для Xerox VL C7020/7025/7030/B7125/B7130/B7135 (200000 стр)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eastAsia="SimSun" w:cs="Times New Roman"/>
                      <w:b/>
                      <w:sz w:val="24"/>
                      <w:szCs w:val="24"/>
                      <w:shd w:val="clear" w:color="auto" w:fill="FFFFFF"/>
                    </w:rPr>
                    <w:t xml:space="preserve">Xerox VersaLink  </w:t>
                  </w:r>
                  <w:r>
                    <w:rPr>
                      <w:rFonts w:hint="default" w:ascii="Times New Roman" w:hAnsi="Times New Roman" w:cs="Times New Roman"/>
                      <w:sz w:val="24"/>
                      <w:szCs w:val="24"/>
                    </w:rPr>
                    <w:t>C7020/7025/7030/B7125/B7130/B7135</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48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10</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115R00115</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Ф'юзерний модуль Xerox VL B7025/7030/7035/В7125/В7130/В7135 (100000стр)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eastAsia="SimSun" w:cs="Times New Roman"/>
                      <w:b/>
                      <w:sz w:val="24"/>
                      <w:szCs w:val="24"/>
                      <w:shd w:val="clear" w:color="auto" w:fill="FFFFFF"/>
                    </w:rPr>
                    <w:t xml:space="preserve">Xerox VersaLink  </w:t>
                  </w:r>
                  <w:r>
                    <w:rPr>
                      <w:rFonts w:hint="default" w:ascii="Times New Roman" w:hAnsi="Times New Roman" w:cs="Times New Roman"/>
                      <w:sz w:val="24"/>
                      <w:szCs w:val="24"/>
                    </w:rPr>
                    <w:t>B7025/7030/7035/В7125/В7130/В7135</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0" w:type="dxa"/>
                  <w:bottom w:w="0" w:type="dxa"/>
                  <w:right w:w="0" w:type="dxa"/>
                </w:tblCellMar>
              </w:tblPrEx>
              <w:trPr>
                <w:trHeight w:val="240" w:hRule="atLeast"/>
                <w:tblCellSpacing w:w="0" w:type="dxa"/>
              </w:trPr>
              <w:tc>
                <w:tcPr>
                  <w:tcW w:w="625"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11</w:t>
                  </w:r>
                </w:p>
              </w:tc>
              <w:tc>
                <w:tcPr>
                  <w:tcW w:w="1445"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013R00688</w:t>
                  </w:r>
                </w:p>
              </w:tc>
              <w:tc>
                <w:tcPr>
                  <w:tcW w:w="4170" w:type="dxa"/>
                  <w:shd w:val="clear" w:color="auto" w:fill="auto"/>
                  <w:tcMar>
                    <w:left w:w="100" w:type="dxa"/>
                    <w:right w:w="100" w:type="dxa"/>
                  </w:tcMar>
                </w:tcPr>
                <w:p>
                  <w:pPr>
                    <w:keepNext w:val="0"/>
                    <w:keepLines w:val="0"/>
                    <w:pageBreakBefore w:val="0"/>
                    <w:kinsoku/>
                    <w:wordWrap/>
                    <w:overflowPunct/>
                    <w:topLinePunct w:val="0"/>
                    <w:bidi w:val="0"/>
                    <w:snapToGrid/>
                    <w:spacing w:after="0"/>
                    <w:textAlignment w:val="auto"/>
                    <w:rPr>
                      <w:rFonts w:hint="default" w:ascii="Times New Roman" w:hAnsi="Times New Roman" w:cs="Times New Roman"/>
                      <w:sz w:val="24"/>
                      <w:szCs w:val="24"/>
                    </w:rPr>
                  </w:pPr>
                  <w:r>
                    <w:rPr>
                      <w:rFonts w:hint="default" w:ascii="Times New Roman" w:hAnsi="Times New Roman" w:cs="Times New Roman"/>
                      <w:sz w:val="24"/>
                      <w:szCs w:val="24"/>
                    </w:rPr>
                    <w:t>Копі картридж Xerox VL C7120/С7125/С7130 (Black 109 000 стор; CMY 87 000 стор)</w:t>
                  </w:r>
                  <w:r>
                    <w:rPr>
                      <w:rFonts w:hint="default" w:ascii="Times New Roman" w:hAnsi="Times New Roman" w:cs="Times New Roman"/>
                      <w:sz w:val="24"/>
                      <w:szCs w:val="24"/>
                      <w:lang w:val="uk-UA"/>
                    </w:rPr>
                    <w:t xml:space="preserve"> оригінальний</w:t>
                  </w:r>
                </w:p>
              </w:tc>
              <w:tc>
                <w:tcPr>
                  <w:tcW w:w="233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eastAsia="SimSun" w:cs="Times New Roman"/>
                      <w:b/>
                      <w:sz w:val="24"/>
                      <w:szCs w:val="24"/>
                      <w:shd w:val="clear" w:color="auto" w:fill="FFFFFF"/>
                    </w:rPr>
                    <w:t>Xerox VersaLink  С7</w:t>
                  </w:r>
                  <w:r>
                    <w:rPr>
                      <w:rFonts w:hint="default" w:ascii="Times New Roman" w:hAnsi="Times New Roman" w:eastAsia="SimSun" w:cs="Times New Roman"/>
                      <w:b/>
                      <w:sz w:val="24"/>
                      <w:szCs w:val="24"/>
                      <w:shd w:val="clear" w:color="auto" w:fill="FFFFFF"/>
                      <w:lang w:val="ru-RU"/>
                    </w:rPr>
                    <w:t>1</w:t>
                  </w:r>
                  <w:r>
                    <w:rPr>
                      <w:rFonts w:hint="default" w:ascii="Times New Roman" w:hAnsi="Times New Roman" w:eastAsia="SimSun" w:cs="Times New Roman"/>
                      <w:b/>
                      <w:sz w:val="24"/>
                      <w:szCs w:val="24"/>
                      <w:shd w:val="clear" w:color="auto" w:fill="FFFFFF"/>
                    </w:rPr>
                    <w:t>20, С7</w:t>
                  </w:r>
                  <w:r>
                    <w:rPr>
                      <w:rFonts w:hint="default" w:ascii="Times New Roman" w:hAnsi="Times New Roman" w:eastAsia="SimSun" w:cs="Times New Roman"/>
                      <w:b/>
                      <w:sz w:val="24"/>
                      <w:szCs w:val="24"/>
                      <w:shd w:val="clear" w:color="auto" w:fill="FFFFFF"/>
                      <w:lang w:val="ru-RU"/>
                    </w:rPr>
                    <w:t>1</w:t>
                  </w:r>
                  <w:r>
                    <w:rPr>
                      <w:rFonts w:hint="default" w:ascii="Times New Roman" w:hAnsi="Times New Roman" w:eastAsia="SimSun" w:cs="Times New Roman"/>
                      <w:b/>
                      <w:sz w:val="24"/>
                      <w:szCs w:val="24"/>
                      <w:shd w:val="clear" w:color="auto" w:fill="FFFFFF"/>
                    </w:rPr>
                    <w:t>25, С7</w:t>
                  </w:r>
                  <w:r>
                    <w:rPr>
                      <w:rFonts w:hint="default" w:ascii="Times New Roman" w:hAnsi="Times New Roman" w:eastAsia="SimSun" w:cs="Times New Roman"/>
                      <w:b/>
                      <w:sz w:val="24"/>
                      <w:szCs w:val="24"/>
                      <w:shd w:val="clear" w:color="auto" w:fill="FFFFFF"/>
                      <w:lang w:val="ru-RU"/>
                    </w:rPr>
                    <w:t>1</w:t>
                  </w:r>
                  <w:r>
                    <w:rPr>
                      <w:rFonts w:hint="default" w:ascii="Times New Roman" w:hAnsi="Times New Roman" w:eastAsia="SimSun" w:cs="Times New Roman"/>
                      <w:b/>
                      <w:sz w:val="24"/>
                      <w:szCs w:val="24"/>
                      <w:shd w:val="clear" w:color="auto" w:fill="FFFFFF"/>
                    </w:rPr>
                    <w:t>30</w:t>
                  </w:r>
                </w:p>
              </w:tc>
              <w:tc>
                <w:tcPr>
                  <w:tcW w:w="122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1240" w:type="dxa"/>
                  <w:shd w:val="clear" w:color="auto" w:fill="auto"/>
                  <w:tcMar>
                    <w:left w:w="100" w:type="dxa"/>
                    <w:right w:w="100" w:type="dxa"/>
                  </w:tcMar>
                  <w:vAlign w:val="center"/>
                </w:tcPr>
                <w:p>
                  <w:pPr>
                    <w:pStyle w:val="6"/>
                    <w:keepNext w:val="0"/>
                    <w:keepLines w:val="0"/>
                    <w:pageBreakBefore w:val="0"/>
                    <w:kinsoku/>
                    <w:wordWrap/>
                    <w:overflowPunct/>
                    <w:topLinePunct w:val="0"/>
                    <w:bidi w:val="0"/>
                    <w:snapToGrid/>
                    <w:spacing w:before="0" w:beforeAutospacing="0" w:after="0" w:afterAutospacing="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шт</w:t>
                  </w:r>
                </w:p>
              </w:tc>
            </w:tr>
          </w:tbl>
          <w:p>
            <w:pPr>
              <w:pStyle w:val="2"/>
              <w:keepNext w:val="0"/>
              <w:keepLines w:val="0"/>
              <w:pageBreakBefore w:val="0"/>
              <w:kinsoku/>
              <w:wordWrap/>
              <w:overflowPunct/>
              <w:topLinePunct w:val="0"/>
              <w:bidi w:val="0"/>
              <w:snapToGrid/>
              <w:spacing w:before="0" w:after="0"/>
              <w:textAlignment w:val="auto"/>
              <w:rPr>
                <w:rFonts w:hint="default" w:ascii="Times New Roman" w:hAnsi="Times New Roman" w:cs="Times New Roman"/>
                <w:b/>
                <w:bCs w:val="0"/>
                <w:color w:val="000000" w:themeColor="text1"/>
                <w:sz w:val="24"/>
                <w:szCs w:val="24"/>
                <w14:textFill>
                  <w14:solidFill>
                    <w14:schemeClr w14:val="tx1"/>
                  </w14:solidFill>
                </w14:textFill>
              </w:rPr>
            </w:pPr>
          </w:p>
          <w:p>
            <w:pPr>
              <w:pStyle w:val="6"/>
              <w:keepNext w:val="0"/>
              <w:keepLines w:val="0"/>
              <w:pageBreakBefore w:val="0"/>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p>
          <w:p>
            <w:pPr>
              <w:pStyle w:val="6"/>
              <w:keepNext w:val="0"/>
              <w:keepLines w:val="0"/>
              <w:pageBreakBefore w:val="0"/>
              <w:kinsoku/>
              <w:wordWrap/>
              <w:overflowPunct/>
              <w:topLinePunct w:val="0"/>
              <w:bidi w:val="0"/>
              <w:snapToGrid/>
              <w:spacing w:before="0" w:beforeAutospacing="0" w:after="0" w:afterAutospacing="0"/>
              <w:ind w:right="-100"/>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 ПІДТВЕРДЖЕННЯ ВІДПОВІДНОСТІ ПРОПОЗИЦІЇ УЧАСНИКА ТЕХНІЧНИМ, ЯКІСНИМ, КІЛЬКІСНИМ ТА ІНШИМ ВИМОГАМ ДО ПРЕДМЕТА ЗАКУПІВЛІ</w:t>
            </w:r>
          </w:p>
          <w:p>
            <w:pPr>
              <w:pStyle w:val="6"/>
              <w:keepNext w:val="0"/>
              <w:keepLines w:val="0"/>
              <w:pageBreakBefore w:val="0"/>
              <w:numPr>
                <w:ilvl w:val="0"/>
                <w:numId w:val="1"/>
              </w:numPr>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Товар обов`язково повинен бути «оригінальним» (від виробника XEROX). Для захисту від поставки неоригінальних витратних матеріалів</w:t>
            </w:r>
            <w:r>
              <w:rPr>
                <w:rFonts w:hint="default" w:ascii="Times New Roman" w:hAnsi="Times New Roman" w:cs="Times New Roman"/>
                <w:b/>
                <w:bCs w:val="0"/>
                <w:color w:val="000000" w:themeColor="text1"/>
                <w:sz w:val="24"/>
                <w:szCs w:val="24"/>
                <w:lang w:val="uk-UA"/>
                <w14:textFill>
                  <w14:solidFill>
                    <w14:schemeClr w14:val="tx1"/>
                  </w14:solidFill>
                </w14:textFill>
              </w:rPr>
              <w:t>,</w:t>
            </w:r>
            <w:r>
              <w:rPr>
                <w:rFonts w:hint="default" w:ascii="Times New Roman" w:hAnsi="Times New Roman" w:cs="Times New Roman"/>
                <w:b/>
                <w:bCs w:val="0"/>
                <w:color w:val="000000" w:themeColor="text1"/>
                <w:sz w:val="24"/>
                <w:szCs w:val="24"/>
                <w14:textFill>
                  <w14:solidFill>
                    <w14:schemeClr w14:val="tx1"/>
                  </w14:solidFill>
                </w14:textFill>
              </w:rPr>
              <w:t xml:space="preserve"> а також від поставки неоригінальних опцій для сканерів і пристроїв друку </w:t>
            </w:r>
            <w:r>
              <w:rPr>
                <w:rFonts w:hint="default" w:ascii="Times New Roman" w:hAnsi="Times New Roman" w:cs="Times New Roman"/>
                <w:b/>
                <w:bCs w:val="0"/>
                <w:color w:val="000000" w:themeColor="text1"/>
                <w:sz w:val="24"/>
                <w:szCs w:val="24"/>
                <w:lang w:val="uk-UA"/>
                <w14:textFill>
                  <w14:solidFill>
                    <w14:schemeClr w14:val="tx1"/>
                  </w14:solidFill>
                </w14:textFill>
              </w:rPr>
              <w:t xml:space="preserve">Учасник повинен </w:t>
            </w:r>
            <w:r>
              <w:rPr>
                <w:rFonts w:hint="default" w:ascii="Times New Roman" w:hAnsi="Times New Roman" w:cs="Times New Roman"/>
                <w:b/>
                <w:bCs w:val="0"/>
                <w:color w:val="000000" w:themeColor="text1"/>
                <w:sz w:val="24"/>
                <w:szCs w:val="24"/>
                <w14:textFill>
                  <w14:solidFill>
                    <w14:schemeClr w14:val="tx1"/>
                  </w14:solidFill>
                </w14:textFill>
              </w:rPr>
              <w:t xml:space="preserve"> надати від виробника компанії XEROX або офіційного представника виробника в Україні підтвердження оригінальності запропонованого Учасником товару,  у вигляді листа</w:t>
            </w:r>
            <w:r>
              <w:rPr>
                <w:rFonts w:hint="default" w:ascii="Times New Roman" w:hAnsi="Times New Roman" w:cs="Times New Roman"/>
                <w:b/>
                <w:bCs w:val="0"/>
                <w:color w:val="000000" w:themeColor="text1"/>
                <w:sz w:val="24"/>
                <w:szCs w:val="24"/>
                <w:lang w:val="uk-UA"/>
                <w14:textFill>
                  <w14:solidFill>
                    <w14:schemeClr w14:val="tx1"/>
                  </w14:solidFill>
                </w14:textFill>
              </w:rPr>
              <w:t xml:space="preserve"> (довільна форма)</w:t>
            </w:r>
            <w:r>
              <w:rPr>
                <w:rFonts w:hint="default" w:ascii="Times New Roman" w:hAnsi="Times New Roman" w:cs="Times New Roman"/>
                <w:b/>
                <w:bCs w:val="0"/>
                <w:color w:val="000000" w:themeColor="text1"/>
                <w:sz w:val="24"/>
                <w:szCs w:val="24"/>
                <w14:textFill>
                  <w14:solidFill>
                    <w14:schemeClr w14:val="tx1"/>
                  </w14:solidFill>
                </w14:textFill>
              </w:rPr>
              <w:t xml:space="preserve"> адресованого на ім’я Замовника або Учасника з номером </w:t>
            </w:r>
            <w:r>
              <w:rPr>
                <w:rFonts w:hint="default" w:ascii="Times New Roman" w:hAnsi="Times New Roman" w:cs="Times New Roman"/>
                <w:b/>
                <w:bCs w:val="0"/>
                <w:color w:val="000000" w:themeColor="text1"/>
                <w:sz w:val="24"/>
                <w:szCs w:val="24"/>
                <w:lang w:val="uk-UA"/>
                <w14:textFill>
                  <w14:solidFill>
                    <w14:schemeClr w14:val="tx1"/>
                  </w14:solidFill>
                </w14:textFill>
              </w:rPr>
              <w:t>та датою оголошення в електронній системі закупівель</w:t>
            </w:r>
            <w:r>
              <w:rPr>
                <w:rFonts w:hint="default" w:ascii="Times New Roman" w:hAnsi="Times New Roman" w:cs="Times New Roman"/>
                <w:b/>
                <w:bCs w:val="0"/>
                <w:color w:val="000000" w:themeColor="text1"/>
                <w:sz w:val="24"/>
                <w:szCs w:val="24"/>
                <w14:textFill>
                  <w14:solidFill>
                    <w14:schemeClr w14:val="tx1"/>
                  </w14:solidFill>
                </w14:textFill>
              </w:rPr>
              <w:t xml:space="preserve"> або надати </w:t>
            </w:r>
            <w:r>
              <w:rPr>
                <w:rFonts w:hint="default" w:ascii="Times New Roman" w:hAnsi="Times New Roman" w:cs="Times New Roman"/>
                <w:b/>
                <w:bCs w:val="0"/>
                <w:color w:val="000000" w:themeColor="text1"/>
                <w:sz w:val="24"/>
                <w:szCs w:val="24"/>
                <w:lang w:val="uk-UA"/>
                <w14:textFill>
                  <w14:solidFill>
                    <w14:schemeClr w14:val="tx1"/>
                  </w14:solidFill>
                </w14:textFill>
              </w:rPr>
              <w:t xml:space="preserve">копію </w:t>
            </w:r>
            <w:r>
              <w:rPr>
                <w:rFonts w:hint="default" w:ascii="Times New Roman" w:hAnsi="Times New Roman" w:cs="Times New Roman"/>
                <w:b/>
                <w:bCs w:val="0"/>
                <w:color w:val="000000" w:themeColor="text1"/>
                <w:sz w:val="24"/>
                <w:szCs w:val="24"/>
                <w14:textFill>
                  <w14:solidFill>
                    <w14:schemeClr w14:val="tx1"/>
                  </w14:solidFill>
                </w14:textFill>
              </w:rPr>
              <w:t>дійсн</w:t>
            </w:r>
            <w:r>
              <w:rPr>
                <w:rFonts w:hint="default" w:ascii="Times New Roman" w:hAnsi="Times New Roman" w:cs="Times New Roman"/>
                <w:b/>
                <w:bCs w:val="0"/>
                <w:color w:val="000000" w:themeColor="text1"/>
                <w:sz w:val="24"/>
                <w:szCs w:val="24"/>
                <w:lang w:val="uk-UA"/>
                <w14:textFill>
                  <w14:solidFill>
                    <w14:schemeClr w14:val="tx1"/>
                  </w14:solidFill>
                </w14:textFill>
              </w:rPr>
              <w:t>ого</w:t>
            </w:r>
            <w:r>
              <w:rPr>
                <w:rFonts w:hint="default" w:ascii="Times New Roman" w:hAnsi="Times New Roman" w:cs="Times New Roman"/>
                <w:b/>
                <w:bCs w:val="0"/>
                <w:color w:val="000000" w:themeColor="text1"/>
                <w:sz w:val="24"/>
                <w:szCs w:val="24"/>
                <w14:textFill>
                  <w14:solidFill>
                    <w14:schemeClr w14:val="tx1"/>
                  </w14:solidFill>
                </w14:textFill>
              </w:rPr>
              <w:t xml:space="preserve"> сертифікат</w:t>
            </w:r>
            <w:r>
              <w:rPr>
                <w:rFonts w:hint="default" w:ascii="Times New Roman" w:hAnsi="Times New Roman" w:cs="Times New Roman"/>
                <w:b/>
                <w:bCs w:val="0"/>
                <w:color w:val="000000" w:themeColor="text1"/>
                <w:sz w:val="24"/>
                <w:szCs w:val="24"/>
                <w:lang w:val="uk-UA"/>
                <w14:textFill>
                  <w14:solidFill>
                    <w14:schemeClr w14:val="tx1"/>
                  </w14:solidFill>
                </w14:textFill>
              </w:rPr>
              <w:t>у</w:t>
            </w:r>
            <w:r>
              <w:rPr>
                <w:rFonts w:hint="default" w:ascii="Times New Roman" w:hAnsi="Times New Roman" w:cs="Times New Roman"/>
                <w:b/>
                <w:bCs w:val="0"/>
                <w:color w:val="000000" w:themeColor="text1"/>
                <w:sz w:val="24"/>
                <w:szCs w:val="24"/>
                <w14:textFill>
                  <w14:solidFill>
                    <w14:schemeClr w14:val="tx1"/>
                  </w14:solidFill>
                </w14:textFill>
              </w:rPr>
              <w:t xml:space="preserve"> підтверджуючий що Учасник є авторизованим Сервісним Провайдером Xerox ASP Advanced. </w:t>
            </w:r>
          </w:p>
          <w:p>
            <w:pPr>
              <w:pStyle w:val="6"/>
              <w:keepNext w:val="0"/>
              <w:keepLines w:val="0"/>
              <w:pageBreakBefore w:val="0"/>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2. Увесь </w:t>
            </w:r>
            <w:r>
              <w:rPr>
                <w:rFonts w:hint="default" w:ascii="Times New Roman" w:hAnsi="Times New Roman" w:cs="Times New Roman"/>
                <w:b/>
                <w:bCs w:val="0"/>
                <w:color w:val="000000" w:themeColor="text1"/>
                <w:sz w:val="24"/>
                <w:szCs w:val="24"/>
                <w:lang w:val="uk-UA"/>
                <w14:textFill>
                  <w14:solidFill>
                    <w14:schemeClr w14:val="tx1"/>
                  </w14:solidFill>
                </w14:textFill>
              </w:rPr>
              <w:t>т</w:t>
            </w:r>
            <w:r>
              <w:rPr>
                <w:rFonts w:hint="default" w:ascii="Times New Roman" w:hAnsi="Times New Roman" w:cs="Times New Roman"/>
                <w:b/>
                <w:bCs w:val="0"/>
                <w:color w:val="000000" w:themeColor="text1"/>
                <w:sz w:val="24"/>
                <w:szCs w:val="24"/>
                <w14:textFill>
                  <w14:solidFill>
                    <w14:schemeClr w14:val="tx1"/>
                  </w14:solidFill>
                </w14:textFill>
              </w:rPr>
              <w:t>овар обов`язково повинен мати оригінальну фабричну упаковку, яка не може бути ушкодженою, або заміненою на іншу аналогічну.</w:t>
            </w:r>
          </w:p>
          <w:p>
            <w:pPr>
              <w:pStyle w:val="6"/>
              <w:keepNext w:val="0"/>
              <w:keepLines w:val="0"/>
              <w:pageBreakBefore w:val="0"/>
              <w:widowControl w:val="0"/>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3. </w:t>
            </w:r>
            <w:r>
              <w:rPr>
                <w:rFonts w:hint="default" w:ascii="Times New Roman" w:hAnsi="Times New Roman" w:cs="Times New Roman"/>
                <w:b/>
                <w:bCs w:val="0"/>
                <w:color w:val="000000" w:themeColor="text1"/>
                <w:sz w:val="24"/>
                <w:szCs w:val="24"/>
                <w:lang w:val="uk-UA"/>
                <w14:textFill>
                  <w14:solidFill>
                    <w14:schemeClr w14:val="tx1"/>
                  </w14:solidFill>
                </w14:textFill>
              </w:rPr>
              <w:t>Учасник  повинен  надати г</w:t>
            </w:r>
            <w:r>
              <w:rPr>
                <w:rFonts w:hint="default" w:ascii="Times New Roman" w:hAnsi="Times New Roman" w:cs="Times New Roman"/>
                <w:b/>
                <w:bCs w:val="0"/>
                <w:color w:val="000000" w:themeColor="text1"/>
                <w:sz w:val="24"/>
                <w:szCs w:val="24"/>
                <w14:textFill>
                  <w14:solidFill>
                    <w14:schemeClr w14:val="tx1"/>
                  </w14:solidFill>
                </w14:textFill>
              </w:rPr>
              <w:t xml:space="preserve">арантійний лист у довільний формі в якому зазначити, що запропонований </w:t>
            </w:r>
            <w:r>
              <w:rPr>
                <w:rFonts w:hint="default" w:ascii="Times New Roman" w:hAnsi="Times New Roman" w:cs="Times New Roman"/>
                <w:b/>
                <w:bCs w:val="0"/>
                <w:color w:val="000000" w:themeColor="text1"/>
                <w:sz w:val="24"/>
                <w:szCs w:val="24"/>
                <w:lang w:val="uk-UA"/>
                <w14:textFill>
                  <w14:solidFill>
                    <w14:schemeClr w14:val="tx1"/>
                  </w14:solidFill>
                </w14:textFill>
              </w:rPr>
              <w:t>т</w:t>
            </w:r>
            <w:r>
              <w:rPr>
                <w:rFonts w:hint="default" w:ascii="Times New Roman" w:hAnsi="Times New Roman" w:cs="Times New Roman"/>
                <w:b/>
                <w:bCs w:val="0"/>
                <w:color w:val="000000" w:themeColor="text1"/>
                <w:sz w:val="24"/>
                <w:szCs w:val="24"/>
                <w14:textFill>
                  <w14:solidFill>
                    <w14:schemeClr w14:val="tx1"/>
                  </w14:solidFill>
                </w14:textFill>
              </w:rPr>
              <w:t xml:space="preserve">овар є новим і таким, що не був у використанні і за допомогою цього </w:t>
            </w:r>
            <w:r>
              <w:rPr>
                <w:rFonts w:hint="default" w:ascii="Times New Roman" w:hAnsi="Times New Roman" w:cs="Times New Roman"/>
                <w:b/>
                <w:bCs w:val="0"/>
                <w:color w:val="000000" w:themeColor="text1"/>
                <w:sz w:val="24"/>
                <w:szCs w:val="24"/>
                <w:lang w:val="uk-UA"/>
                <w14:textFill>
                  <w14:solidFill>
                    <w14:schemeClr w14:val="tx1"/>
                  </w14:solidFill>
                </w14:textFill>
              </w:rPr>
              <w:t>т</w:t>
            </w:r>
            <w:r>
              <w:rPr>
                <w:rFonts w:hint="default" w:ascii="Times New Roman" w:hAnsi="Times New Roman" w:cs="Times New Roman"/>
                <w:b/>
                <w:bCs w:val="0"/>
                <w:color w:val="000000" w:themeColor="text1"/>
                <w:sz w:val="24"/>
                <w:szCs w:val="24"/>
                <w14:textFill>
                  <w14:solidFill>
                    <w14:schemeClr w14:val="tx1"/>
                  </w14:solidFill>
                </w14:textFill>
              </w:rPr>
              <w:t xml:space="preserve">овару не проводились демонстраційні заходи. </w:t>
            </w:r>
          </w:p>
          <w:p>
            <w:pPr>
              <w:pStyle w:val="6"/>
              <w:keepNext w:val="0"/>
              <w:keepLines w:val="0"/>
              <w:pageBreakBefore w:val="0"/>
              <w:numPr>
                <w:ilvl w:val="0"/>
                <w:numId w:val="2"/>
              </w:numPr>
              <w:tabs>
                <w:tab w:val="left" w:pos="567"/>
              </w:tabs>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Учасник повинен н</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адати гарантійний лист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у довільній формі </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про те, що перевірка цілісності та оригінальності поставлено</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ї  партії товару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буде відбуватися в присутності Постачальника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(представника Постачальника) </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та Замовника</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(представника Замовника)</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при передачі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партії товару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за додатково погодженою датою та часом, але не пізніше 5 (п’яти) робочих днів з дня отримання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з</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амов</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лення на відповідну партію товару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згідно</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до підписаного договору</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У</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разі</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виявлення при передачі (відвантажені) Замовнику (представнику Замовника)</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пошкодженого/дефектного,</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неоригінального або неналежної</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якості товару, або</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з відкритою</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упаковкою, товар буде замінений</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впродовж 14</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(чотирнадцять)</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 робочих днів.</w:t>
            </w:r>
          </w:p>
          <w:p>
            <w:pPr>
              <w:pStyle w:val="6"/>
              <w:keepNext w:val="0"/>
              <w:keepLines w:val="0"/>
              <w:pageBreakBefore w:val="0"/>
              <w:numPr>
                <w:ilvl w:val="0"/>
                <w:numId w:val="2"/>
              </w:numPr>
              <w:tabs>
                <w:tab w:val="left" w:pos="567"/>
              </w:tabs>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color w:val="000000" w:themeColor="text1"/>
                <w:sz w:val="24"/>
                <w:szCs w:val="24"/>
                <w:highlight w:val="none"/>
                <w:shd w:val="clear" w:color="auto" w:fill="FFFFFF"/>
                <w:lang w:val="uk-UA"/>
                <w14:textFill>
                  <w14:solidFill>
                    <w14:schemeClr w14:val="tx1"/>
                  </w14:solidFill>
                </w14:textFill>
              </w:rPr>
              <w:t>Гарантійний строк на товар повинен становити не менше ніж термін встановлений виробником.</w:t>
            </w:r>
          </w:p>
          <w:p>
            <w:pPr>
              <w:pStyle w:val="6"/>
              <w:keepNext w:val="0"/>
              <w:keepLines w:val="0"/>
              <w:pageBreakBefore w:val="0"/>
              <w:numPr>
                <w:ilvl w:val="0"/>
                <w:numId w:val="2"/>
              </w:numPr>
              <w:tabs>
                <w:tab w:val="left" w:pos="567"/>
              </w:tabs>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Місце поставки товару: 65005, м. Одеса, вул. Прохоровська, 35.</w:t>
            </w:r>
          </w:p>
          <w:p>
            <w:pPr>
              <w:pStyle w:val="6"/>
              <w:keepNext w:val="0"/>
              <w:keepLines w:val="0"/>
              <w:pageBreakBefore w:val="0"/>
              <w:numPr>
                <w:ilvl w:val="0"/>
                <w:numId w:val="2"/>
              </w:numPr>
              <w:shd w:val="clear" w:color="auto" w:fill="FFFFFF"/>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Учасник гарантує, що весь запропонований ним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т</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овар не є предметом будь-якого обтяження чи обмеження, передбаченого чинним законодавством України, не перебуває під забороною відчуження, країною походження товару не є Російська Федерація/Республіка Білорусь/Ісламська Республіка Іран. </w:t>
            </w:r>
          </w:p>
          <w:p>
            <w:pPr>
              <w:pStyle w:val="6"/>
              <w:keepNext w:val="0"/>
              <w:keepLines w:val="0"/>
              <w:pageBreakBefore w:val="0"/>
              <w:shd w:val="clear" w:color="auto" w:fill="FFFFFF"/>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 xml:space="preserve">8. </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 xml:space="preserve">Учасник гарантує, що до країни виробника </w:t>
            </w:r>
            <w:r>
              <w:rPr>
                <w:rFonts w:hint="default" w:ascii="Times New Roman" w:hAnsi="Times New Roman" w:cs="Times New Roman"/>
                <w:b/>
                <w:bCs w:val="0"/>
                <w:color w:val="000000" w:themeColor="text1"/>
                <w:sz w:val="24"/>
                <w:szCs w:val="24"/>
                <w:shd w:val="clear" w:color="auto" w:fill="FFFFFF"/>
                <w:lang w:val="uk-UA"/>
                <w14:textFill>
                  <w14:solidFill>
                    <w14:schemeClr w14:val="tx1"/>
                  </w14:solidFill>
                </w14:textFill>
              </w:rPr>
              <w:t>т</w:t>
            </w:r>
            <w:r>
              <w:rPr>
                <w:rFonts w:hint="default" w:ascii="Times New Roman" w:hAnsi="Times New Roman" w:cs="Times New Roman"/>
                <w:b/>
                <w:bCs w:val="0"/>
                <w:color w:val="000000" w:themeColor="text1"/>
                <w:sz w:val="24"/>
                <w:szCs w:val="24"/>
                <w:shd w:val="clear" w:color="auto" w:fill="FFFFFF"/>
                <w14:textFill>
                  <w14:solidFill>
                    <w14:schemeClr w14:val="tx1"/>
                  </w14:solidFill>
                </w14:textFill>
              </w:rPr>
              <w:t>овару не застосовані санкції згідно Закону України “Про санкції” від 14.08.2014 № 1644-VII (зі змінами).</w:t>
            </w:r>
          </w:p>
          <w:p>
            <w:pPr>
              <w:pStyle w:val="6"/>
              <w:keepNext w:val="0"/>
              <w:keepLines w:val="0"/>
              <w:pageBreakBefore w:val="0"/>
              <w:tabs>
                <w:tab w:val="left" w:pos="567"/>
              </w:tabs>
              <w:kinsoku/>
              <w:wordWrap/>
              <w:overflowPunct/>
              <w:topLinePunct w:val="0"/>
              <w:bidi w:val="0"/>
              <w:snapToGrid/>
              <w:spacing w:before="0" w:beforeAutospacing="0" w:after="0" w:afterAutospacing="0"/>
              <w:jc w:val="both"/>
              <w:textAlignment w:val="auto"/>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pPr>
          </w:p>
          <w:p>
            <w:pPr>
              <w:keepNext w:val="0"/>
              <w:keepLines w:val="0"/>
              <w:pageBreakBefore w:val="0"/>
              <w:kinsoku/>
              <w:wordWrap/>
              <w:overflowPunct/>
              <w:topLinePunct w:val="0"/>
              <w:bidi w:val="0"/>
              <w:snapToGrid/>
              <w:spacing w:after="0"/>
              <w:ind w:firstLine="851"/>
              <w:jc w:val="both"/>
              <w:textAlignment w:val="auto"/>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val="0"/>
                <w:i/>
                <w:iCs/>
                <w:color w:val="000000" w:themeColor="text1"/>
                <w:sz w:val="24"/>
                <w:szCs w:val="24"/>
                <w14:textFill>
                  <w14:solidFill>
                    <w14:schemeClr w14:val="tx1"/>
                  </w14:solidFill>
                </w14:textFill>
              </w:rPr>
              <w:t>*Примітка: Коди виробників (PART номер товару), що зазначені в Таблиці 1, надаються для встановлення опису технічних вимог оригінального товару, з якими учасник може ознайомитись на сайті виробника пристроїв друку (</w:t>
            </w:r>
            <w:r>
              <w:rPr>
                <w:rFonts w:hint="default" w:ascii="Times New Roman" w:hAnsi="Times New Roman" w:eastAsia="Calibri" w:cs="Times New Roman"/>
                <w:b/>
                <w:bCs w:val="0"/>
                <w:i/>
                <w:iCs/>
                <w:color w:val="000000" w:themeColor="text1"/>
                <w:sz w:val="24"/>
                <w:szCs w:val="24"/>
                <w14:textFill>
                  <w14:solidFill>
                    <w14:schemeClr w14:val="tx1"/>
                  </w14:solidFill>
                </w14:textFill>
              </w:rPr>
              <w:t xml:space="preserve">сайті офіційного партнера або дистриб’ютора виробника в Україні). </w:t>
            </w:r>
          </w:p>
          <w:p>
            <w:pPr>
              <w:pStyle w:val="6"/>
              <w:keepNext w:val="0"/>
              <w:keepLines w:val="0"/>
              <w:pageBreakBefore w:val="0"/>
              <w:widowControl w:val="0"/>
              <w:shd w:val="clear" w:color="auto" w:fill="FFFFFF"/>
              <w:tabs>
                <w:tab w:val="left" w:pos="6241"/>
              </w:tabs>
              <w:kinsoku/>
              <w:wordWrap/>
              <w:overflowPunct/>
              <w:topLinePunct w:val="0"/>
              <w:bidi w:val="0"/>
              <w:snapToGrid/>
              <w:spacing w:before="0" w:beforeAutospacing="0" w:after="0" w:afterAutospacing="0"/>
              <w:ind w:firstLine="560"/>
              <w:jc w:val="both"/>
              <w:textAlignment w:val="auto"/>
              <w:rPr>
                <w:rFonts w:ascii="Times New Roman" w:hAnsi="Times New Roman"/>
                <w:sz w:val="24"/>
                <w:szCs w:val="24"/>
              </w:rPr>
            </w:pPr>
            <w:r>
              <w:rPr>
                <w:rFonts w:hint="default" w:ascii="Times New Roman" w:hAnsi="Times New Roman" w:cs="Times New Roman"/>
                <w:b/>
                <w:bCs w:val="0"/>
                <w:i/>
                <w:iCs/>
                <w:color w:val="000000" w:themeColor="text1"/>
                <w:sz w:val="24"/>
                <w:szCs w:val="24"/>
                <w14:textFill>
                  <w14:solidFill>
                    <w14:schemeClr w14:val="tx1"/>
                  </w14:solidFill>
                </w14:textFill>
              </w:rPr>
              <w:t> </w:t>
            </w:r>
            <w:r>
              <w:rPr>
                <w:rFonts w:hint="default" w:ascii="Times New Roman" w:hAnsi="Times New Roman" w:cs="Times New Roman"/>
                <w:b/>
                <w:bCs w:val="0"/>
                <w:i/>
                <w:iCs/>
                <w:color w:val="000000" w:themeColor="text1"/>
                <w:sz w:val="24"/>
                <w:szCs w:val="24"/>
                <w:lang w:val="uk-UA"/>
                <w14:textFill>
                  <w14:solidFill>
                    <w14:schemeClr w14:val="tx1"/>
                  </w14:solidFill>
                </w14:textFill>
              </w:rPr>
              <w:t xml:space="preserve"> </w:t>
            </w:r>
            <w:r>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t>*</w:t>
            </w:r>
            <w:r>
              <w:rPr>
                <w:rFonts w:hint="default" w:ascii="Times New Roman" w:hAnsi="Times New Roman" w:cs="Times New Roman"/>
                <w:b/>
                <w:bCs w:val="0"/>
                <w:i/>
                <w:iCs/>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t>Примітка: У разі посилання  на конкретну торговельну марку чи фірму слід вважати в наявності вираз «або еквівалент» (при пропозиції Учасником еквіваленту зазначеного товару за Предметом закупівлі, обов'язкове надання технічної документації (підтвердження), що запропонований еквівалент відповідає вимогам Замовника, тобто не гірше за технічними та якісними характеристиками</w:t>
            </w:r>
            <w:r>
              <w:rPr>
                <w:rFonts w:hint="default" w:ascii="Times New Roman" w:hAnsi="Times New Roman" w:cs="Times New Roman"/>
                <w:b/>
                <w:bCs w:val="0"/>
                <w:i/>
                <w:iCs/>
                <w:color w:val="000000" w:themeColor="text1"/>
                <w:sz w:val="24"/>
                <w:szCs w:val="24"/>
                <w:shd w:val="clear" w:color="auto" w:fill="FFFFFF"/>
                <w:lang w:val="uk-UA"/>
                <w14:textFill>
                  <w14:solidFill>
                    <w14:schemeClr w14:val="tx1"/>
                  </w14:solidFill>
                </w14:textFill>
              </w:rPr>
              <w:t>)</w:t>
            </w:r>
            <w:r>
              <w:rPr>
                <w:rFonts w:hint="default" w:ascii="Times New Roman" w:hAnsi="Times New Roman" w:cs="Times New Roman"/>
                <w:b/>
                <w:bCs w:val="0"/>
                <w:i/>
                <w:iCs/>
                <w:color w:val="000000" w:themeColor="text1"/>
                <w:sz w:val="24"/>
                <w:szCs w:val="24"/>
                <w:shd w:val="clear" w:color="auto" w:fill="FFFFFF"/>
                <w14:textFill>
                  <w14:solidFill>
                    <w14:schemeClr w14:val="tx1"/>
                  </w14:solidFill>
                </w14:textFill>
              </w:rPr>
              <w:t>.</w:t>
            </w:r>
          </w:p>
        </w:tc>
      </w:tr>
    </w:tbl>
    <w:p>
      <w:pPr>
        <w:keepNext w:val="0"/>
        <w:keepLines w:val="0"/>
        <w:pageBreakBefore w:val="0"/>
        <w:shd w:val="clear" w:color="auto" w:fill="FFFFFF"/>
        <w:kinsoku/>
        <w:wordWrap/>
        <w:overflowPunct/>
        <w:topLinePunct w:val="0"/>
        <w:bidi w:val="0"/>
        <w:snapToGrid/>
        <w:spacing w:after="0" w:line="240" w:lineRule="auto"/>
        <w:jc w:val="center"/>
        <w:textAlignment w:val="auto"/>
        <w:rPr>
          <w:rFonts w:ascii="Times New Roman" w:hAnsi="Times New Roman" w:eastAsia="Times New Roman" w:cs="Times New Roman"/>
          <w:sz w:val="24"/>
          <w:szCs w:val="24"/>
          <w:lang w:eastAsia="uk-UA"/>
        </w:rPr>
      </w:pPr>
    </w:p>
    <w:p>
      <w:pPr>
        <w:keepNext w:val="0"/>
        <w:keepLines w:val="0"/>
        <w:pageBreakBefore w:val="0"/>
        <w:kinsoku/>
        <w:wordWrap/>
        <w:overflowPunct/>
        <w:topLinePunct w:val="0"/>
        <w:bidi w:val="0"/>
        <w:snapToGrid/>
        <w:spacing w:after="0"/>
        <w:textAlignment w:val="auto"/>
        <w:rPr>
          <w:rFonts w:ascii="Times New Roman" w:hAnsi="Times New Roman" w:cs="Times New Roman"/>
          <w:sz w:val="24"/>
          <w:szCs w:val="24"/>
        </w:rPr>
      </w:pPr>
    </w:p>
    <w:sectPr>
      <w:pgSz w:w="16838" w:h="11906" w:orient="landscape"/>
      <w:pgMar w:top="709" w:right="1134" w:bottom="946"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NSimSun">
    <w:panose1 w:val="02010609030101010101"/>
    <w:charset w:val="CC"/>
    <w:family w:val="auto"/>
    <w:pitch w:val="default"/>
    <w:sig w:usb0="00000203" w:usb1="288F0000" w:usb2="00000006" w:usb3="00000000" w:csb0="00040001" w:csb1="00000000"/>
  </w:font>
  <w:font w:name="Microsoft YaHei">
    <w:panose1 w:val="020B0503020204020204"/>
    <w:charset w:val="86"/>
    <w:family w:val="auto"/>
    <w:pitch w:val="default"/>
    <w:sig w:usb0="80000287" w:usb1="2ACF3C50" w:usb2="00000016" w:usb3="00000000" w:csb0="0004001F" w:csb1="00000000"/>
  </w:font>
  <w:font w:name="SimSun-ExtG">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4679F"/>
    <w:multiLevelType w:val="singleLevel"/>
    <w:tmpl w:val="B3C4679F"/>
    <w:lvl w:ilvl="0" w:tentative="0">
      <w:start w:val="1"/>
      <w:numFmt w:val="decimal"/>
      <w:suff w:val="space"/>
      <w:lvlText w:val="%1."/>
      <w:lvlJc w:val="left"/>
    </w:lvl>
  </w:abstractNum>
  <w:abstractNum w:abstractNumId="1">
    <w:nsid w:val="15268B55"/>
    <w:multiLevelType w:val="singleLevel"/>
    <w:tmpl w:val="15268B55"/>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B6A57"/>
    <w:rsid w:val="00102512"/>
    <w:rsid w:val="00125C17"/>
    <w:rsid w:val="001311EF"/>
    <w:rsid w:val="001738B8"/>
    <w:rsid w:val="0017630A"/>
    <w:rsid w:val="001C7598"/>
    <w:rsid w:val="00236565"/>
    <w:rsid w:val="0023690B"/>
    <w:rsid w:val="002552ED"/>
    <w:rsid w:val="002665D0"/>
    <w:rsid w:val="002C02F8"/>
    <w:rsid w:val="002C5A62"/>
    <w:rsid w:val="00352965"/>
    <w:rsid w:val="00365A2F"/>
    <w:rsid w:val="003E4E76"/>
    <w:rsid w:val="00430330"/>
    <w:rsid w:val="00430AFF"/>
    <w:rsid w:val="004821A3"/>
    <w:rsid w:val="005B2BC4"/>
    <w:rsid w:val="005E7478"/>
    <w:rsid w:val="00681671"/>
    <w:rsid w:val="00704732"/>
    <w:rsid w:val="00713593"/>
    <w:rsid w:val="00747820"/>
    <w:rsid w:val="00805BA7"/>
    <w:rsid w:val="008B1CF3"/>
    <w:rsid w:val="00945BE7"/>
    <w:rsid w:val="00974FFA"/>
    <w:rsid w:val="009D2A70"/>
    <w:rsid w:val="009F0BDF"/>
    <w:rsid w:val="009F2E46"/>
    <w:rsid w:val="00A43BE2"/>
    <w:rsid w:val="00A7299C"/>
    <w:rsid w:val="00A76604"/>
    <w:rsid w:val="00A81960"/>
    <w:rsid w:val="00A81E65"/>
    <w:rsid w:val="00A83042"/>
    <w:rsid w:val="00AB018D"/>
    <w:rsid w:val="00AD6D4B"/>
    <w:rsid w:val="00AE6BCE"/>
    <w:rsid w:val="00B3079D"/>
    <w:rsid w:val="00B31FA2"/>
    <w:rsid w:val="00B65035"/>
    <w:rsid w:val="00B729C6"/>
    <w:rsid w:val="00C2598E"/>
    <w:rsid w:val="00C76FF8"/>
    <w:rsid w:val="00C96B00"/>
    <w:rsid w:val="00D34FD6"/>
    <w:rsid w:val="00D71336"/>
    <w:rsid w:val="00E17014"/>
    <w:rsid w:val="05436747"/>
    <w:rsid w:val="105A0899"/>
    <w:rsid w:val="178705E7"/>
    <w:rsid w:val="28BA1473"/>
    <w:rsid w:val="49AC46D5"/>
    <w:rsid w:val="6D4E18C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next w:val="2"/>
    <w:qFormat/>
    <w:uiPriority w:val="0"/>
    <w:pPr>
      <w:spacing w:after="160" w:line="256" w:lineRule="auto"/>
    </w:pPr>
    <w:rPr>
      <w:rFonts w:asciiTheme="minorHAnsi" w:hAnsiTheme="minorHAnsi" w:eastAsiaTheme="minorHAnsi" w:cstheme="minorBidi"/>
      <w:sz w:val="22"/>
      <w:szCs w:val="22"/>
      <w:lang w:val="uk-UA" w:eastAsia="en-US" w:bidi="ar-SA"/>
    </w:rPr>
  </w:style>
  <w:style w:type="paragraph" w:styleId="3">
    <w:name w:val="heading 4"/>
    <w:basedOn w:val="1"/>
    <w:next w:val="1"/>
    <w:unhideWhenUsed/>
    <w:qFormat/>
    <w:uiPriority w:val="99"/>
    <w:pPr>
      <w:keepNext/>
      <w:spacing w:before="240" w:after="60" w:line="276" w:lineRule="auto"/>
      <w:jc w:val="both"/>
      <w:outlineLvl w:val="3"/>
    </w:pPr>
    <w:rPr>
      <w:rFonts w:ascii="Calibri" w:hAnsi="Calibri"/>
      <w:b/>
      <w:bCs/>
      <w:sz w:val="28"/>
      <w:szCs w:val="28"/>
      <w:lang w:eastAsia="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LO-normal1"/>
    <w:qFormat/>
    <w:uiPriority w:val="2"/>
    <w:pPr>
      <w:widowControl/>
      <w:suppressAutoHyphens/>
      <w:kinsoku/>
      <w:overflowPunct/>
      <w:autoSpaceDE/>
      <w:bidi w:val="0"/>
      <w:spacing w:before="0" w:after="0"/>
      <w:jc w:val="left"/>
    </w:pPr>
    <w:rPr>
      <w:rFonts w:ascii="Times New Roman" w:hAnsi="Times New Roman" w:eastAsia="NSimSun" w:cs="Arial"/>
      <w:color w:val="auto"/>
      <w:kern w:val="0"/>
      <w:sz w:val="20"/>
      <w:szCs w:val="20"/>
      <w:lang w:val="uk-UA" w:eastAsia="zh-CN" w:bidi="hi-IN"/>
    </w:rPr>
  </w:style>
  <w:style w:type="paragraph" w:styleId="6">
    <w:name w:val="Normal (Web)"/>
    <w:basedOn w:val="1"/>
    <w:unhideWhenUsed/>
    <w:qFormat/>
    <w:uiPriority w:val="0"/>
    <w:pPr>
      <w:spacing w:before="100" w:beforeAutospacing="1" w:after="100" w:afterAutospacing="1"/>
    </w:pPr>
    <w:rPr>
      <w:lang w:val="ru-RU"/>
    </w:rPr>
  </w:style>
  <w:style w:type="paragraph" w:styleId="7">
    <w:name w:val="HTML Preformatted"/>
    <w:basedOn w:val="1"/>
    <w:link w:val="12"/>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Times New Roman"/>
      <w:color w:val="000000"/>
      <w:sz w:val="18"/>
      <w:szCs w:val="18"/>
      <w:lang w:val="ru-RU" w:eastAsia="ru-RU"/>
    </w:rPr>
  </w:style>
  <w:style w:type="table" w:styleId="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Без интервала3"/>
    <w:uiPriority w:val="0"/>
    <w:pPr>
      <w:suppressAutoHyphens/>
    </w:pPr>
    <w:rPr>
      <w:rFonts w:ascii="Calibri" w:hAnsi="Calibri" w:eastAsia="Calibri" w:cs="Times New Roman"/>
      <w:sz w:val="22"/>
      <w:szCs w:val="22"/>
      <w:lang w:val="uk-UA" w:eastAsia="en-US" w:bidi="ar-SA"/>
    </w:rPr>
  </w:style>
  <w:style w:type="paragraph" w:styleId="10">
    <w:name w:val="List Paragraph"/>
    <w:basedOn w:val="1"/>
    <w:link w:val="11"/>
    <w:qFormat/>
    <w:uiPriority w:val="0"/>
    <w:pPr>
      <w:spacing w:line="259" w:lineRule="auto"/>
      <w:ind w:left="720"/>
      <w:contextualSpacing/>
    </w:pPr>
    <w:rPr>
      <w:rFonts w:ascii="Calibri" w:hAnsi="Calibri" w:eastAsia="Calibri" w:cs="Calibri"/>
      <w:lang w:eastAsia="zh-CN"/>
    </w:rPr>
  </w:style>
  <w:style w:type="character" w:customStyle="1" w:styleId="11">
    <w:name w:val="Абзац списка Знак"/>
    <w:link w:val="10"/>
    <w:qFormat/>
    <w:locked/>
    <w:uiPriority w:val="0"/>
    <w:rPr>
      <w:rFonts w:ascii="Calibri" w:hAnsi="Calibri" w:eastAsia="Calibri" w:cs="Calibri"/>
      <w:sz w:val="22"/>
      <w:szCs w:val="22"/>
      <w:lang w:val="uk-UA"/>
    </w:rPr>
  </w:style>
  <w:style w:type="character" w:customStyle="1" w:styleId="12">
    <w:name w:val="Стандартный HTML Знак"/>
    <w:basedOn w:val="4"/>
    <w:link w:val="7"/>
    <w:semiHidden/>
    <w:qFormat/>
    <w:uiPriority w:val="0"/>
    <w:rPr>
      <w:rFonts w:ascii="Courier New" w:hAnsi="Courier New" w:eastAsia="Times New Roman"/>
      <w:color w:val="000000"/>
      <w:sz w:val="18"/>
      <w:szCs w:val="18"/>
      <w:lang w:val="ru-RU" w:eastAsia="ru-RU"/>
    </w:rPr>
  </w:style>
  <w:style w:type="paragraph" w:styleId="13">
    <w:name w:val="No Spacing"/>
    <w:qFormat/>
    <w:uiPriority w:val="1"/>
    <w:rPr>
      <w:rFonts w:ascii="Calibri" w:hAnsi="Calibri" w:eastAsia="Times New Roman" w:cs="Times New Roman"/>
      <w:sz w:val="22"/>
      <w:szCs w:val="22"/>
      <w:lang w:val="uk-UA" w:eastAsia="uk-UA" w:bidi="ar-SA"/>
    </w:rPr>
  </w:style>
  <w:style w:type="character" w:customStyle="1" w:styleId="14">
    <w:name w:val="apple-style-span"/>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3977</Characters>
  <Lines>33</Lines>
  <Paragraphs>9</Paragraphs>
  <TotalTime>12</TotalTime>
  <ScaleCrop>false</ScaleCrop>
  <LinksUpToDate>false</LinksUpToDate>
  <CharactersWithSpaces>4665</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2021-11-29T13:18:00Z</dcterms:created>
  <dc:creator>chernikov</dc:creator>
  <cp:lastModifiedBy>imp1454615</cp:lastModifiedBy>
  <cp:lastPrinted>2021-02-05T13:32:00Z</cp:lastPrinted>
  <dcterms:modified xsi:type="dcterms:W3CDTF">2025-09-01T12:23:42Z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y fmtid="{D5CDD505-2E9C-101B-9397-08002B2CF9AE}" pid="3" name="ICV">
    <vt:lpwstr>5342D403CE1249F4B949AD80FF116A5E_12</vt:lpwstr>
  </property>
</Properties>
</file>