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ascii="Times New Roman" w:hAnsi="Times New Roman" w:eastAsia="Times New Roman" w:cs="Times New Roman"/>
          <w:b/>
          <w:bCs/>
          <w:lang w:eastAsia="uk-UA"/>
        </w:rPr>
      </w:pPr>
    </w:p>
    <w:p>
      <w:pPr>
        <w:shd w:val="clear" w:color="auto" w:fill="FFFFFF"/>
        <w:spacing w:after="0" w:line="24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Інформація щодо процедури закупівлі Електричної енергії Одеським НДЕКЦ МВС</w:t>
      </w:r>
    </w:p>
    <w:p>
      <w:pPr>
        <w:shd w:val="clear" w:color="auto" w:fill="FFFFFF"/>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 виконання Постанови КМУ від 11.10.2016 №710 (зі змінами)</w:t>
      </w:r>
    </w:p>
    <w:p>
      <w:pPr>
        <w:shd w:val="clear" w:color="auto" w:fill="FFFFFF"/>
        <w:spacing w:after="0" w:line="240" w:lineRule="auto"/>
        <w:jc w:val="center"/>
        <w:rPr>
          <w:rFonts w:ascii="Times New Roman" w:hAnsi="Times New Roman" w:eastAsia="Times New Roman" w:cs="Times New Roman"/>
          <w:lang w:eastAsia="uk-UA"/>
        </w:rPr>
      </w:pPr>
    </w:p>
    <w:tbl>
      <w:tblPr>
        <w:tblStyle w:val="4"/>
        <w:tblW w:w="1502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835"/>
        <w:gridCol w:w="10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after="0" w:line="240" w:lineRule="auto"/>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Предмет закупівлі, очікувана вартість</w:t>
            </w:r>
          </w:p>
        </w:tc>
        <w:tc>
          <w:tcPr>
            <w:tcW w:w="2835" w:type="dxa"/>
          </w:tcPr>
          <w:p>
            <w:pPr>
              <w:spacing w:after="0" w:line="240" w:lineRule="auto"/>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Процедура закупівлі та ідентифікатор процедури</w:t>
            </w:r>
          </w:p>
        </w:tc>
        <w:tc>
          <w:tcPr>
            <w:tcW w:w="10490" w:type="dxa"/>
          </w:tcPr>
          <w:p>
            <w:pPr>
              <w:spacing w:after="0" w:line="240" w:lineRule="auto"/>
              <w:jc w:val="center"/>
              <w:rPr>
                <w:rFonts w:ascii="Times New Roman" w:hAnsi="Times New Roman" w:eastAsia="Times New Roman" w:cs="Times New Roman"/>
                <w:b/>
                <w:sz w:val="24"/>
                <w:szCs w:val="24"/>
                <w:lang w:eastAsia="uk-UA"/>
              </w:rPr>
            </w:pPr>
          </w:p>
          <w:p>
            <w:pPr>
              <w:spacing w:after="0" w:line="240" w:lineRule="auto"/>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Обґрунтування технічних та якісних характеристик предмета закупівлі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Pr>
          <w:p>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Електрична енергія, </w:t>
            </w:r>
          </w:p>
          <w:p>
            <w:pPr>
              <w:spacing w:after="0" w:line="240" w:lineRule="auto"/>
              <w:jc w:val="center"/>
              <w:rPr>
                <w:rFonts w:ascii="Times New Roman" w:hAnsi="Times New Roman" w:eastAsia="Times New Roman" w:cs="Times New Roman"/>
                <w:sz w:val="24"/>
                <w:szCs w:val="24"/>
                <w:lang w:eastAsia="uk-UA"/>
              </w:rPr>
            </w:pPr>
          </w:p>
          <w:p>
            <w:pPr>
              <w:spacing w:after="0" w:line="240" w:lineRule="auto"/>
              <w:jc w:val="center"/>
              <w:rPr>
                <w:rFonts w:hint="default" w:ascii="Times New Roman" w:hAnsi="Times New Roman" w:cs="Times New Roman" w:eastAsiaTheme="minorEastAsia"/>
                <w:color w:val="000000" w:themeColor="text1"/>
                <w:sz w:val="24"/>
                <w:szCs w:val="24"/>
                <w:lang w:val="uk-UA" w:eastAsia="zh-C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код </w:t>
            </w:r>
            <w:r>
              <w:rPr>
                <w:rFonts w:ascii="Times New Roman" w:hAnsi="Times New Roman" w:eastAsia="Times New Roman" w:cs="Times New Roman"/>
                <w:color w:val="000000" w:themeColor="text1"/>
                <w:sz w:val="24"/>
                <w:szCs w:val="24"/>
                <w:lang w:val="zh-CN" w:eastAsia="zh-CN"/>
                <w14:textFill>
                  <w14:solidFill>
                    <w14:schemeClr w14:val="tx1"/>
                  </w14:solidFill>
                </w14:textFill>
              </w:rPr>
              <w:t>ДК 021:2015: 09310000-5</w:t>
            </w:r>
            <w:r>
              <w:rPr>
                <w:rFonts w:ascii="Times New Roman" w:hAnsi="Times New Roman" w:eastAsia="Times New Roman" w:cs="Times New Roman"/>
                <w:color w:val="000000" w:themeColor="text1"/>
                <w:sz w:val="24"/>
                <w:szCs w:val="24"/>
                <w:lang w:eastAsia="zh-CN"/>
                <w14:textFill>
                  <w14:solidFill>
                    <w14:schemeClr w14:val="tx1"/>
                  </w14:solidFill>
                </w14:textFill>
              </w:rPr>
              <w:t>-</w:t>
            </w:r>
            <w:r>
              <w:rPr>
                <w:rFonts w:ascii="Times New Roman" w:hAnsi="Times New Roman" w:eastAsia="Times New Roman" w:cs="Times New Roman"/>
                <w:color w:val="000000" w:themeColor="text1"/>
                <w:sz w:val="24"/>
                <w:szCs w:val="24"/>
                <w:lang w:val="zh-CN" w:eastAsia="zh-CN"/>
                <w14:textFill>
                  <w14:solidFill>
                    <w14:schemeClr w14:val="tx1"/>
                  </w14:solidFill>
                </w14:textFill>
              </w:rPr>
              <w:t xml:space="preserve"> Електрична енергія</w:t>
            </w:r>
            <w:r>
              <w:rPr>
                <w:rFonts w:hint="default" w:ascii="Times New Roman" w:hAnsi="Times New Roman" w:eastAsia="Times New Roman" w:cs="Times New Roman"/>
                <w:color w:val="000000" w:themeColor="text1"/>
                <w:sz w:val="24"/>
                <w:szCs w:val="24"/>
                <w:lang w:val="uk-UA" w:eastAsia="zh-CN"/>
                <w14:textFill>
                  <w14:solidFill>
                    <w14:schemeClr w14:val="tx1"/>
                  </w14:solidFill>
                </w14:textFill>
              </w:rPr>
              <w:t>,</w:t>
            </w:r>
          </w:p>
          <w:p>
            <w:pPr>
              <w:spacing w:after="0" w:line="240" w:lineRule="auto"/>
              <w:jc w:val="center"/>
              <w:rPr>
                <w:rFonts w:ascii="Times New Roman" w:hAnsi="Times New Roman" w:eastAsia="Times New Roman" w:cs="Times New Roman"/>
                <w:sz w:val="24"/>
                <w:szCs w:val="24"/>
                <w:lang w:eastAsia="uk-UA"/>
              </w:rPr>
            </w:pPr>
          </w:p>
          <w:p>
            <w:pPr>
              <w:spacing w:after="0" w:line="240" w:lineRule="auto"/>
              <w:jc w:val="center"/>
              <w:rPr>
                <w:rFonts w:hint="default" w:ascii="Times New Roman" w:hAnsi="Times New Roman" w:eastAsia="Times New Roman" w:cs="Times New Roman"/>
                <w:sz w:val="24"/>
                <w:szCs w:val="24"/>
                <w:lang w:val="en-US" w:eastAsia="uk-UA"/>
              </w:rPr>
            </w:pPr>
            <w:r>
              <w:rPr>
                <w:rFonts w:hint="default" w:ascii="Times New Roman" w:hAnsi="Times New Roman" w:eastAsia="Times New Roman" w:cs="Times New Roman"/>
                <w:sz w:val="24"/>
                <w:szCs w:val="24"/>
                <w:lang w:val="en-US" w:eastAsia="uk-UA"/>
              </w:rPr>
              <w:t>2 835 000,00 грн. з ПДВ</w:t>
            </w:r>
          </w:p>
        </w:tc>
        <w:tc>
          <w:tcPr>
            <w:tcW w:w="2835" w:type="dxa"/>
          </w:tcPr>
          <w:p>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Відкриті торги з особливостями</w:t>
            </w:r>
          </w:p>
          <w:p>
            <w:pPr>
              <w:spacing w:after="0" w:line="240" w:lineRule="auto"/>
              <w:jc w:val="center"/>
              <w:rPr>
                <w:rFonts w:ascii="Times New Roman" w:hAnsi="Times New Roman" w:eastAsia="Times New Roman" w:cs="Times New Roman"/>
                <w:sz w:val="24"/>
                <w:szCs w:val="24"/>
                <w:lang w:val="ru-RU" w:eastAsia="uk-UA"/>
              </w:rPr>
            </w:pPr>
          </w:p>
          <w:p>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UA-202</w:t>
            </w:r>
            <w:r>
              <w:rPr>
                <w:rFonts w:ascii="Times New Roman" w:hAnsi="Times New Roman" w:eastAsia="Times New Roman" w:cs="Times New Roman"/>
                <w:sz w:val="24"/>
                <w:szCs w:val="24"/>
                <w:lang w:val="en-US" w:eastAsia="uk-UA"/>
              </w:rPr>
              <w:t>3</w:t>
            </w:r>
            <w:r>
              <w:rPr>
                <w:rFonts w:ascii="Times New Roman" w:hAnsi="Times New Roman" w:eastAsia="Times New Roman" w:cs="Times New Roman"/>
                <w:sz w:val="24"/>
                <w:szCs w:val="24"/>
                <w:lang w:eastAsia="uk-UA"/>
              </w:rPr>
              <w:t>-</w:t>
            </w:r>
            <w:r>
              <w:rPr>
                <w:rFonts w:hint="default" w:ascii="Times New Roman" w:hAnsi="Times New Roman" w:eastAsia="Times New Roman" w:cs="Times New Roman"/>
                <w:sz w:val="24"/>
                <w:szCs w:val="24"/>
                <w:lang w:val="en-US" w:eastAsia="uk-UA"/>
              </w:rPr>
              <w:t>11</w:t>
            </w:r>
            <w:r>
              <w:rPr>
                <w:rFonts w:ascii="Times New Roman" w:hAnsi="Times New Roman" w:eastAsia="Times New Roman" w:cs="Times New Roman"/>
                <w:sz w:val="24"/>
                <w:szCs w:val="24"/>
                <w:lang w:eastAsia="uk-UA"/>
              </w:rPr>
              <w:t>-</w:t>
            </w:r>
            <w:r>
              <w:rPr>
                <w:rFonts w:ascii="Times New Roman" w:hAnsi="Times New Roman" w:eastAsia="Times New Roman" w:cs="Times New Roman"/>
                <w:sz w:val="24"/>
                <w:szCs w:val="24"/>
                <w:lang w:val="en-US" w:eastAsia="uk-UA"/>
              </w:rPr>
              <w:t>2</w:t>
            </w:r>
            <w:r>
              <w:rPr>
                <w:rFonts w:hint="default" w:ascii="Times New Roman" w:hAnsi="Times New Roman" w:eastAsia="Times New Roman" w:cs="Times New Roman"/>
                <w:sz w:val="24"/>
                <w:szCs w:val="24"/>
                <w:lang w:val="en-US" w:eastAsia="uk-UA"/>
              </w:rPr>
              <w:t>0</w:t>
            </w:r>
            <w:r>
              <w:rPr>
                <w:rFonts w:ascii="Times New Roman" w:hAnsi="Times New Roman" w:eastAsia="Times New Roman" w:cs="Times New Roman"/>
                <w:sz w:val="24"/>
                <w:szCs w:val="24"/>
                <w:lang w:eastAsia="uk-UA"/>
              </w:rPr>
              <w:t>-0</w:t>
            </w:r>
            <w:r>
              <w:rPr>
                <w:rFonts w:ascii="Times New Roman" w:hAnsi="Times New Roman" w:eastAsia="Times New Roman" w:cs="Times New Roman"/>
                <w:sz w:val="24"/>
                <w:szCs w:val="24"/>
                <w:lang w:val="en-US" w:eastAsia="uk-UA"/>
              </w:rPr>
              <w:t>0</w:t>
            </w:r>
            <w:r>
              <w:rPr>
                <w:rFonts w:hint="default" w:ascii="Times New Roman" w:hAnsi="Times New Roman" w:eastAsia="Times New Roman" w:cs="Times New Roman"/>
                <w:sz w:val="24"/>
                <w:szCs w:val="24"/>
                <w:lang w:val="en-US" w:eastAsia="uk-UA"/>
              </w:rPr>
              <w:t>4740</w:t>
            </w:r>
            <w:r>
              <w:rPr>
                <w:rFonts w:ascii="Times New Roman" w:hAnsi="Times New Roman" w:eastAsia="Times New Roman" w:cs="Times New Roman"/>
                <w:sz w:val="24"/>
                <w:szCs w:val="24"/>
                <w:lang w:eastAsia="uk-UA"/>
              </w:rPr>
              <w:t>-</w:t>
            </w:r>
            <w:r>
              <w:rPr>
                <w:rFonts w:ascii="Times New Roman" w:hAnsi="Times New Roman" w:eastAsia="Times New Roman" w:cs="Times New Roman"/>
                <w:sz w:val="24"/>
                <w:szCs w:val="24"/>
                <w:lang w:val="en-US" w:eastAsia="uk-UA"/>
              </w:rPr>
              <w:t>a</w:t>
            </w:r>
          </w:p>
          <w:p>
            <w:pPr>
              <w:spacing w:after="0" w:line="240" w:lineRule="auto"/>
              <w:jc w:val="center"/>
              <w:rPr>
                <w:rFonts w:ascii="Times New Roman" w:hAnsi="Times New Roman" w:eastAsia="Times New Roman" w:cs="Times New Roman"/>
                <w:sz w:val="24"/>
                <w:szCs w:val="24"/>
                <w:lang w:eastAsia="uk-UA"/>
              </w:rPr>
            </w:pPr>
          </w:p>
        </w:tc>
        <w:tc>
          <w:tcPr>
            <w:tcW w:w="10490" w:type="dxa"/>
          </w:tcPr>
          <w:p>
            <w:pPr>
              <w:spacing w:after="0" w:line="240" w:lineRule="auto"/>
              <w:jc w:val="both"/>
              <w:rPr>
                <w:rFonts w:ascii="Times New Roman" w:hAnsi="Times New Roman" w:cs="Times New Roman"/>
                <w:color w:val="454545"/>
                <w:sz w:val="24"/>
                <w:szCs w:val="24"/>
              </w:rPr>
            </w:pPr>
          </w:p>
          <w:p>
            <w:pPr>
              <w:spacing w:after="0" w:line="240" w:lineRule="auto"/>
              <w:rPr>
                <w:rFonts w:ascii="Times New Roman" w:hAnsi="Times New Roman" w:cs="Times New Roman" w:eastAsiaTheme="minorEastAsia"/>
                <w:b/>
                <w:color w:val="000000" w:themeColor="text1"/>
                <w:sz w:val="24"/>
                <w:szCs w:val="24"/>
                <w:lang w:val="zh-CN" w:eastAsia="zh-CN"/>
                <w14:textFill>
                  <w14:solidFill>
                    <w14:schemeClr w14:val="tx1"/>
                  </w14:solidFill>
                </w14:textFill>
              </w:rPr>
            </w:pPr>
            <w:r>
              <w:rPr>
                <w:rFonts w:ascii="Times New Roman" w:hAnsi="Times New Roman" w:cs="Times New Roman"/>
                <w:b/>
                <w:color w:val="454545"/>
                <w:sz w:val="24"/>
                <w:szCs w:val="24"/>
              </w:rPr>
              <w:t xml:space="preserve">                   </w:t>
            </w:r>
            <w:r>
              <w:rPr>
                <w:rFonts w:ascii="Times New Roman" w:hAnsi="Times New Roman" w:cs="Times New Roman"/>
                <w:b/>
                <w:color w:val="000000" w:themeColor="text1"/>
                <w:sz w:val="24"/>
                <w:szCs w:val="24"/>
                <w14:textFill>
                  <w14:solidFill>
                    <w14:schemeClr w14:val="tx1"/>
                  </w14:solidFill>
                </w14:textFill>
              </w:rPr>
              <w:t xml:space="preserve">Електрична енергія, код </w:t>
            </w:r>
            <w:r>
              <w:rPr>
                <w:rFonts w:ascii="Times New Roman" w:hAnsi="Times New Roman" w:eastAsia="Times New Roman" w:cs="Times New Roman"/>
                <w:b/>
                <w:color w:val="000000" w:themeColor="text1"/>
                <w:sz w:val="24"/>
                <w:szCs w:val="24"/>
                <w:lang w:val="zh-CN" w:eastAsia="zh-CN"/>
                <w14:textFill>
                  <w14:solidFill>
                    <w14:schemeClr w14:val="tx1"/>
                  </w14:solidFill>
                </w14:textFill>
              </w:rPr>
              <w:t>ДК 021:2015: 09310000-5 — Електрична енергія</w:t>
            </w:r>
          </w:p>
          <w:p>
            <w:pPr>
              <w:spacing w:after="0" w:line="240" w:lineRule="auto"/>
              <w:rPr>
                <w:rFonts w:ascii="Times New Roman" w:hAnsi="Times New Roman" w:cs="Times New Roman" w:eastAsiaTheme="minorEastAsia"/>
                <w:b/>
                <w:color w:val="000000" w:themeColor="text1"/>
                <w:sz w:val="24"/>
                <w:szCs w:val="24"/>
                <w:lang w:val="zh-CN" w:eastAsia="zh-CN"/>
                <w14:textFill>
                  <w14:solidFill>
                    <w14:schemeClr w14:val="tx1"/>
                  </w14:solidFill>
                </w14:textFill>
              </w:rPr>
            </w:pPr>
          </w:p>
          <w:p>
            <w:pPr>
              <w:spacing w:after="0" w:line="240" w:lineRule="auto"/>
              <w:rPr>
                <w:rFonts w:ascii="Times New Roman" w:hAnsi="Times New Roman" w:eastAsia="Times New Roman" w:cs="Times New Roman"/>
                <w:b/>
                <w:color w:val="000000" w:themeColor="text1"/>
                <w:sz w:val="24"/>
                <w:szCs w:val="24"/>
                <w:lang w:val="zh-CN" w:eastAsia="zh-CN"/>
                <w14:textFill>
                  <w14:solidFill>
                    <w14:schemeClr w14:val="tx1"/>
                  </w14:solidFill>
                </w14:textFill>
              </w:rPr>
            </w:pPr>
            <w:r>
              <w:rPr>
                <w:rFonts w:ascii="Times New Roman" w:hAnsi="Times New Roman" w:eastAsia="Times New Roman" w:cs="Times New Roman"/>
                <w:b/>
                <w:color w:val="000000" w:themeColor="text1"/>
                <w:sz w:val="24"/>
                <w:szCs w:val="24"/>
                <w:lang w:eastAsia="zh-CN"/>
                <w14:textFill>
                  <w14:solidFill>
                    <w14:schemeClr w14:val="tx1"/>
                  </w14:solidFill>
                </w14:textFill>
              </w:rPr>
              <w:t xml:space="preserve">                                                            </w:t>
            </w:r>
          </w:p>
          <w:p>
            <w:pPr>
              <w:widowControl w:val="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1. Учасники процедури закупівлі повинні надати у складі тендерної пропозиції інформацію та документи, які підтверджують відповідність тендерної пропозиції учасника технічним, якісним, кількісним та іншим характеристикам та вимогам до предмета закупівлі, установленим замовником згідно даного пункту та  додатку 1 до тендерної документації.</w:t>
            </w:r>
          </w:p>
          <w:p>
            <w:pPr>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1.1. Умови постачання електричної енергії замовнику повинні відповідати наступним нормативно-правовим актам:</w:t>
            </w:r>
          </w:p>
          <w:p>
            <w:pPr>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 Закон України «Про ринок електричної енергії»;</w:t>
            </w:r>
          </w:p>
          <w:p>
            <w:pPr>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 Правила роздрібного ринку електричної енергії (затверджені постановою НКРЕКП від 14.03.2018 р. № 312).</w:t>
            </w:r>
          </w:p>
          <w:p>
            <w:pPr>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 інші нормативно-правові акти, прийняті на виконання Закону України «Про ринок електричної енергії».</w:t>
            </w:r>
          </w:p>
          <w:p>
            <w:pPr>
              <w:jc w:val="both"/>
              <w:rPr>
                <w:rFonts w:hint="default" w:ascii="Times New Roman" w:hAnsi="Times New Roman" w:cs="Times New Roman"/>
                <w:b/>
                <w:sz w:val="24"/>
                <w:szCs w:val="24"/>
                <w:lang w:val="uk-UA"/>
              </w:rPr>
            </w:pPr>
            <w:r>
              <w:rPr>
                <w:rFonts w:hint="default" w:ascii="Times New Roman" w:hAnsi="Times New Roman" w:cs="Times New Roman"/>
                <w:b/>
                <w:sz w:val="24"/>
                <w:szCs w:val="24"/>
                <w:lang w:val="uk-UA"/>
              </w:rPr>
              <w:t>1.2. Технічна специфікація щодо предмету закупівлі:</w:t>
            </w:r>
          </w:p>
          <w:tbl>
            <w:tblPr>
              <w:tblStyle w:val="3"/>
              <w:tblW w:w="938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3"/>
              <w:gridCol w:w="3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6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24"/>
                      <w:szCs w:val="24"/>
                      <w:lang w:val="ru-RU" w:eastAsia="en-US"/>
                    </w:rPr>
                  </w:pPr>
                  <w:r>
                    <w:rPr>
                      <w:rFonts w:hint="default" w:ascii="Times New Roman" w:hAnsi="Times New Roman" w:cs="Times New Roman"/>
                      <w:b/>
                      <w:bCs/>
                      <w:sz w:val="24"/>
                      <w:szCs w:val="24"/>
                      <w:lang w:val="ru-RU" w:eastAsia="en-US"/>
                    </w:rPr>
                    <w:t>Об’єкти для яких постачається електрична енергія</w:t>
                  </w:r>
                </w:p>
                <w:p>
                  <w:pPr>
                    <w:jc w:val="center"/>
                    <w:rPr>
                      <w:rFonts w:hint="default" w:ascii="Times New Roman" w:hAnsi="Times New Roman" w:eastAsia="Times New Roman" w:cs="Times New Roman"/>
                      <w:b/>
                      <w:bCs/>
                      <w:sz w:val="24"/>
                      <w:szCs w:val="24"/>
                      <w:lang w:val="uk-UA" w:eastAsia="en-US" w:bidi="ar-SA"/>
                    </w:rPr>
                  </w:pPr>
                </w:p>
              </w:tc>
              <w:tc>
                <w:tcPr>
                  <w:tcW w:w="37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 xml:space="preserve">Кількість електроенергії, </w:t>
                  </w:r>
                </w:p>
                <w:p>
                  <w:pPr>
                    <w:jc w:val="center"/>
                    <w:rPr>
                      <w:rFonts w:hint="default" w:ascii="Times New Roman" w:hAnsi="Times New Roman" w:eastAsia="Times New Roman" w:cs="Times New Roman"/>
                      <w:b/>
                      <w:sz w:val="24"/>
                      <w:szCs w:val="24"/>
                      <w:lang w:val="uk-UA" w:eastAsia="en-US" w:bidi="ar-SA"/>
                    </w:rPr>
                  </w:pPr>
                  <w:r>
                    <w:rPr>
                      <w:rFonts w:hint="default" w:ascii="Times New Roman" w:hAnsi="Times New Roman" w:cs="Times New Roman"/>
                      <w:b/>
                      <w:sz w:val="24"/>
                      <w:szCs w:val="24"/>
                      <w:lang w:val="ru-RU" w:eastAsia="en-US"/>
                    </w:rPr>
                    <w:t xml:space="preserve"> кВт/год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653" w:type="dxa"/>
                  <w:vAlign w:val="center"/>
                </w:tcPr>
                <w:p>
                  <w:pPr>
                    <w:widowControl w:val="0"/>
                    <w:ind w:leftChars="-1" w:hanging="2" w:hangingChars="1"/>
                    <w:jc w:val="both"/>
                    <w:textAlignment w:val="top"/>
                    <w:outlineLvl w:val="0"/>
                    <w:rPr>
                      <w:rFonts w:hint="default" w:ascii="Times New Roman" w:hAnsi="Times New Roman" w:cs="Times New Roman"/>
                      <w:position w:val="-1"/>
                      <w:sz w:val="24"/>
                      <w:szCs w:val="24"/>
                      <w:lang w:val="ru-RU" w:eastAsia="en-US"/>
                    </w:rPr>
                  </w:pPr>
                  <w:r>
                    <w:rPr>
                      <w:rFonts w:hint="default" w:ascii="Times New Roman" w:hAnsi="Times New Roman" w:cs="Times New Roman"/>
                      <w:position w:val="-1"/>
                      <w:sz w:val="24"/>
                      <w:szCs w:val="24"/>
                      <w:lang w:val="ru-RU" w:eastAsia="en-US"/>
                    </w:rPr>
                    <w:t>62z2053347461905 (м. Одеса, вул. Прохоровська, 35)</w:t>
                  </w:r>
                </w:p>
                <w:p>
                  <w:pPr>
                    <w:widowControl w:val="0"/>
                    <w:ind w:leftChars="-1" w:hanging="2" w:hangingChars="1"/>
                    <w:jc w:val="both"/>
                    <w:textAlignment w:val="top"/>
                    <w:outlineLvl w:val="0"/>
                    <w:rPr>
                      <w:rFonts w:hint="default" w:ascii="Times New Roman" w:hAnsi="Times New Roman" w:cs="Times New Roman"/>
                      <w:position w:val="-1"/>
                      <w:sz w:val="24"/>
                      <w:szCs w:val="24"/>
                      <w:lang w:val="ru-RU" w:eastAsia="en-US"/>
                    </w:rPr>
                  </w:pPr>
                  <w:r>
                    <w:rPr>
                      <w:rFonts w:hint="default" w:ascii="Times New Roman" w:hAnsi="Times New Roman" w:cs="Times New Roman"/>
                      <w:position w:val="-1"/>
                      <w:sz w:val="24"/>
                      <w:szCs w:val="24"/>
                      <w:lang w:val="ru-RU" w:eastAsia="en-US"/>
                    </w:rPr>
                    <w:t>62Z1790123224554 (м. Одеса, вул. Мечникова, 108)</w:t>
                  </w:r>
                </w:p>
                <w:p>
                  <w:pPr>
                    <w:widowControl w:val="0"/>
                    <w:ind w:leftChars="-1" w:hanging="2" w:hangingChars="1"/>
                    <w:jc w:val="both"/>
                    <w:textAlignment w:val="top"/>
                    <w:outlineLvl w:val="0"/>
                    <w:rPr>
                      <w:rFonts w:hint="default" w:ascii="Times New Roman" w:hAnsi="Times New Roman" w:cs="Times New Roman"/>
                      <w:position w:val="-1"/>
                      <w:sz w:val="24"/>
                      <w:szCs w:val="24"/>
                      <w:lang w:val="ru-RU" w:eastAsia="en-US"/>
                    </w:rPr>
                  </w:pPr>
                  <w:r>
                    <w:rPr>
                      <w:rFonts w:hint="default" w:ascii="Times New Roman" w:hAnsi="Times New Roman" w:cs="Times New Roman"/>
                      <w:position w:val="-1"/>
                      <w:sz w:val="24"/>
                      <w:szCs w:val="24"/>
                      <w:lang w:val="ru-RU" w:eastAsia="en-US"/>
                    </w:rPr>
                    <w:t>62Z0555099729691 (м. Одеса, вул. Мечникова, 108)</w:t>
                  </w:r>
                </w:p>
                <w:p>
                  <w:pPr>
                    <w:widowControl w:val="0"/>
                    <w:ind w:left="0" w:leftChars="-1" w:hanging="2" w:hangingChars="1"/>
                    <w:jc w:val="both"/>
                    <w:textAlignment w:val="top"/>
                    <w:outlineLvl w:val="0"/>
                    <w:rPr>
                      <w:rFonts w:hint="default" w:ascii="Times New Roman" w:hAnsi="Times New Roman" w:eastAsia="Times New Roman" w:cs="Times New Roman"/>
                      <w:position w:val="-1"/>
                      <w:sz w:val="24"/>
                      <w:szCs w:val="24"/>
                      <w:lang w:val="uk-UA" w:eastAsia="en-US" w:bidi="ar-SA"/>
                    </w:rPr>
                  </w:pPr>
                  <w:r>
                    <w:rPr>
                      <w:rFonts w:hint="default" w:ascii="Times New Roman" w:hAnsi="Times New Roman" w:cs="Times New Roman"/>
                      <w:position w:val="-1"/>
                      <w:sz w:val="24"/>
                      <w:szCs w:val="24"/>
                      <w:lang w:val="ru-RU" w:eastAsia="en-US"/>
                    </w:rPr>
                    <w:t>62Z7799239521058 (м. Одеса, вул. Мечникова, 108)</w:t>
                  </w:r>
                </w:p>
              </w:tc>
              <w:tc>
                <w:tcPr>
                  <w:tcW w:w="3727" w:type="dxa"/>
                  <w:vAlign w:val="center"/>
                </w:tcPr>
                <w:p>
                  <w:pPr>
                    <w:jc w:val="center"/>
                    <w:rPr>
                      <w:rFonts w:hint="default" w:ascii="Times New Roman" w:hAnsi="Times New Roman" w:eastAsia="Times New Roman" w:cs="Times New Roman"/>
                      <w:sz w:val="24"/>
                      <w:szCs w:val="24"/>
                      <w:lang w:val="uk-UA" w:eastAsia="en-US" w:bidi="ar-SA"/>
                    </w:rPr>
                  </w:pPr>
                  <w:r>
                    <w:rPr>
                      <w:rFonts w:hint="default" w:ascii="Times New Roman" w:hAnsi="Times New Roman" w:cs="Times New Roman"/>
                      <w:sz w:val="24"/>
                      <w:szCs w:val="24"/>
                      <w:lang w:val="uk-UA" w:eastAsia="en-US"/>
                    </w:rPr>
                    <w:t>405</w:t>
                  </w:r>
                  <w:r>
                    <w:rPr>
                      <w:rFonts w:hint="default" w:ascii="Times New Roman" w:hAnsi="Times New Roman" w:cs="Times New Roman"/>
                      <w:sz w:val="24"/>
                      <w:szCs w:val="24"/>
                      <w:lang w:val="en-US" w:eastAsia="en-US"/>
                    </w:rPr>
                    <w:t xml:space="preserve"> 000 </w:t>
                  </w:r>
                  <w:r>
                    <w:rPr>
                      <w:rFonts w:hint="default" w:ascii="Times New Roman" w:hAnsi="Times New Roman" w:cs="Times New Roman"/>
                      <w:sz w:val="24"/>
                      <w:szCs w:val="24"/>
                      <w:lang w:val="ru-RU" w:eastAsia="en-US"/>
                    </w:rPr>
                    <w:t>кВт/год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653" w:type="dxa"/>
                  <w:vAlign w:val="bottom"/>
                </w:tcPr>
                <w:p>
                  <w:pPr>
                    <w:rPr>
                      <w:rFonts w:hint="default" w:ascii="Times New Roman" w:hAnsi="Times New Roman" w:eastAsia="Times New Roman" w:cs="Times New Roman"/>
                      <w:b/>
                      <w:sz w:val="24"/>
                      <w:szCs w:val="24"/>
                      <w:lang w:val="uk-UA" w:eastAsia="en-US" w:bidi="ar-SA"/>
                    </w:rPr>
                  </w:pPr>
                  <w:r>
                    <w:rPr>
                      <w:rFonts w:hint="default" w:ascii="Times New Roman" w:hAnsi="Times New Roman" w:cs="Times New Roman"/>
                      <w:b/>
                      <w:sz w:val="24"/>
                      <w:szCs w:val="24"/>
                      <w:lang w:val="ru-RU" w:eastAsia="en-US"/>
                    </w:rPr>
                    <w:t>Загальний обсяг</w:t>
                  </w:r>
                </w:p>
              </w:tc>
              <w:tc>
                <w:tcPr>
                  <w:tcW w:w="3727" w:type="dxa"/>
                  <w:vAlign w:val="center"/>
                </w:tcPr>
                <w:p>
                  <w:pPr>
                    <w:jc w:val="center"/>
                    <w:rPr>
                      <w:rFonts w:hint="default" w:ascii="Times New Roman" w:hAnsi="Times New Roman" w:eastAsia="Times New Roman" w:cs="Times New Roman"/>
                      <w:b/>
                      <w:bCs/>
                      <w:sz w:val="24"/>
                      <w:szCs w:val="24"/>
                      <w:lang w:val="uk-UA" w:eastAsia="en-US" w:bidi="ar-SA"/>
                    </w:rPr>
                  </w:pPr>
                  <w:r>
                    <w:rPr>
                      <w:rFonts w:hint="default" w:ascii="Times New Roman" w:hAnsi="Times New Roman" w:cs="Times New Roman"/>
                      <w:b/>
                      <w:sz w:val="24"/>
                      <w:szCs w:val="24"/>
                      <w:lang w:val="uk-UA" w:eastAsia="en-US"/>
                    </w:rPr>
                    <w:t>405</w:t>
                  </w:r>
                  <w:r>
                    <w:rPr>
                      <w:rFonts w:hint="default" w:ascii="Times New Roman" w:hAnsi="Times New Roman" w:cs="Times New Roman"/>
                      <w:b/>
                      <w:sz w:val="24"/>
                      <w:szCs w:val="24"/>
                      <w:lang w:val="en-US" w:eastAsia="en-US"/>
                    </w:rPr>
                    <w:t xml:space="preserve"> 000</w:t>
                  </w:r>
                  <w:r>
                    <w:rPr>
                      <w:rFonts w:hint="default" w:ascii="Times New Roman" w:hAnsi="Times New Roman" w:cs="Times New Roman"/>
                      <w:b/>
                      <w:sz w:val="24"/>
                      <w:szCs w:val="24"/>
                      <w:lang w:val="ru-RU" w:eastAsia="en-US"/>
                    </w:rPr>
                    <w:t xml:space="preserve"> кВт/год</w:t>
                  </w:r>
                </w:p>
              </w:tc>
            </w:tr>
          </w:tbl>
          <w:p>
            <w:pPr>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1.3. Відповідно до положень пункту 11.4.6 глави 11.4 розділу XI Кодексу систем розподілу, затвердженого постановою НКРЕКП від 14.03.2018 № 310, </w:t>
            </w:r>
            <w:r>
              <w:rPr>
                <w:rFonts w:hint="default" w:ascii="Times New Roman" w:hAnsi="Times New Roman" w:cs="Times New Roman"/>
                <w:sz w:val="24"/>
                <w:szCs w:val="24"/>
                <w:shd w:val="clear" w:color="auto" w:fill="FFFFFF"/>
                <w:lang w:val="uk-UA"/>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Pr>
                <w:rFonts w:hint="default" w:ascii="Times New Roman" w:hAnsi="Times New Roman" w:cs="Times New Roman"/>
                <w:sz w:val="24"/>
                <w:szCs w:val="24"/>
                <w:lang w:val="uk-UA"/>
              </w:rPr>
              <w:t>.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електропостачальника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pPr>
              <w:jc w:val="both"/>
              <w:textAlignment w:val="baseline"/>
              <w:rPr>
                <w:rFonts w:hint="default" w:ascii="Times New Roman" w:hAnsi="Times New Roman" w:cs="Times New Roman"/>
                <w:sz w:val="24"/>
                <w:szCs w:val="24"/>
                <w:lang w:val="uk-UA"/>
              </w:rPr>
            </w:pPr>
            <w:r>
              <w:rPr>
                <w:rFonts w:hint="default" w:ascii="Times New Roman" w:hAnsi="Times New Roman" w:cs="Times New Roman"/>
                <w:sz w:val="24"/>
                <w:szCs w:val="24"/>
                <w:lang w:val="uk-UA"/>
              </w:rPr>
              <w:t>1.4. Всі посилання в тексті цієї тендерної документації в цілому та її додатках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тощо, слід читати в сукупності з виразом «або еквівалент».</w:t>
            </w:r>
          </w:p>
          <w:p>
            <w:pPr>
              <w:jc w:val="both"/>
              <w:textAlignment w:val="baseline"/>
              <w:rPr>
                <w:rFonts w:hint="default" w:ascii="Times New Roman" w:hAnsi="Times New Roman" w:cs="Times New Roman"/>
                <w:i w:val="0"/>
                <w:iCs w:val="0"/>
                <w:sz w:val="24"/>
                <w:szCs w:val="24"/>
                <w:lang w:val="uk-UA"/>
              </w:rPr>
            </w:pPr>
            <w:r>
              <w:rPr>
                <w:rFonts w:hint="default" w:ascii="Times New Roman" w:hAnsi="Times New Roman" w:cs="Times New Roman"/>
                <w:i w:val="0"/>
                <w:iCs w:val="0"/>
                <w:sz w:val="24"/>
                <w:szCs w:val="24"/>
                <w:lang w:val="uk-UA"/>
              </w:rPr>
              <w:t>1.5. 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Учасником у складі тендерної пропозиції надається інформація у довільній формі щодо зобов’язань учасника дотримуватись заходів із захисту довкілля.</w:t>
            </w:r>
          </w:p>
          <w:p>
            <w:pPr>
              <w:pStyle w:val="7"/>
              <w:tabs>
                <w:tab w:val="left" w:pos="425"/>
              </w:tabs>
              <w:ind w:right="94"/>
              <w:jc w:val="both"/>
              <w:rPr>
                <w:rFonts w:hint="default" w:ascii="Times New Roman" w:hAnsi="Times New Roman" w:cs="Times New Roman"/>
                <w:b w:val="0"/>
                <w:bCs w:val="0"/>
                <w:i w:val="0"/>
                <w:iCs w:val="0"/>
                <w:sz w:val="24"/>
                <w:szCs w:val="24"/>
                <w:lang w:eastAsia="ru-RU"/>
              </w:rPr>
            </w:pPr>
            <w:r>
              <w:rPr>
                <w:rFonts w:hint="default" w:ascii="Times New Roman" w:hAnsi="Times New Roman" w:cs="Times New Roman"/>
                <w:sz w:val="24"/>
                <w:szCs w:val="24"/>
                <w:lang w:eastAsia="ru-RU"/>
              </w:rPr>
              <w:t xml:space="preserve">1.6. У відповідності до частини 2 статті 56 Закону України «Про ринок електричної енергії»: «Договір постачання електричної енергії споживачу укладається між електропостачальником та споживачем та передбачає постачання всього обсягу фактичного споживання електричної енергії споживачем у певний період часу одним електропостачальником. Постачання електричної енергії споживачам здійснюється за вільними цінами». </w:t>
            </w:r>
            <w:r>
              <w:rPr>
                <w:rFonts w:hint="default" w:ascii="Times New Roman" w:hAnsi="Times New Roman" w:cs="Times New Roman"/>
                <w:b w:val="0"/>
                <w:bCs w:val="0"/>
                <w:i w:val="0"/>
                <w:iCs w:val="0"/>
                <w:sz w:val="24"/>
                <w:szCs w:val="24"/>
                <w:lang w:eastAsia="ru-RU"/>
              </w:rPr>
              <w:t>З метою уникнення необґрунтованого заниження (демпінгу) та/або завищення ціни тендерної пропозиції учасник надає лист в довільній формі за підписом та печаткою Учасника, в якому Учасник інформує замовника, щодо гарантування порядку формування своєї цінової пропозиції за середньо зваженими цінами на запропонований товар.</w:t>
            </w:r>
          </w:p>
          <w:p>
            <w:pPr>
              <w:widowControl w:val="0"/>
              <w:jc w:val="both"/>
              <w:rPr>
                <w:rFonts w:hint="default" w:ascii="Times New Roman" w:hAnsi="Times New Roman" w:cs="Times New Roman"/>
                <w:b w:val="0"/>
                <w:bCs w:val="0"/>
                <w:i w:val="0"/>
                <w:iCs w:val="0"/>
                <w:sz w:val="24"/>
                <w:szCs w:val="24"/>
                <w:lang w:val="uk-UA"/>
              </w:rPr>
            </w:pPr>
            <w:r>
              <w:rPr>
                <w:rFonts w:hint="default" w:ascii="Times New Roman" w:hAnsi="Times New Roman" w:cs="Times New Roman"/>
                <w:b w:val="0"/>
                <w:bCs w:val="0"/>
                <w:i w:val="0"/>
                <w:iCs w:val="0"/>
                <w:sz w:val="24"/>
                <w:szCs w:val="24"/>
                <w:lang w:val="uk-UA"/>
              </w:rPr>
              <w:t xml:space="preserve">1.7. На підтвердження відсутності застосованих до учасника закупівлі санкцій, надати гарантійний лист, що учасник закупівлі не перебуває у списку суб’єктів господарювання, до яких застосовані санкції. Якщо учасник закупівлі є виробником продукції, що складає предмет закупівлі, такий учасник зобов’язаний надати документальне підтвердження державної реєстрації його потужностей виробництва, із зазначенням їх місце розташування та легалізації згідно чинного законодавства (об’єктів електрогенерації). У випадку, якщо учасник не є електрогенеруючою компанією, він зобов’язаний окремою довідкою у довільній формі повідомити про статус електропостачальника без можливості здійснювати електрогенерацію. Також Учасник повинен надати інформацію щодо країни  походження товару. </w:t>
            </w:r>
          </w:p>
          <w:p>
            <w:pPr>
              <w:widowControl w:val="0"/>
              <w:autoSpaceDE w:val="0"/>
              <w:spacing w:line="240" w:lineRule="atLeast"/>
              <w:contextualSpacing/>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2. Учасники при поданні тендерної пропозиції повинні враховувати норми:</w:t>
            </w:r>
            <w:r>
              <w:rPr>
                <w:rFonts w:hint="default" w:ascii="Times New Roman" w:hAnsi="Times New Roman" w:cs="Times New Roman"/>
                <w:sz w:val="24"/>
                <w:szCs w:val="24"/>
                <w:lang w:val="uk-UA"/>
              </w:rPr>
              <w:br w:type="textWrapping"/>
            </w:r>
            <w:r>
              <w:rPr>
                <w:rFonts w:hint="default" w:ascii="Times New Roman" w:hAnsi="Times New Roman" w:cs="Times New Roman"/>
                <w:sz w:val="24"/>
                <w:szCs w:val="24"/>
                <w:lang w:val="uk-UA"/>
              </w:rPr>
              <w:t>2.1.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pPr>
              <w:widowControl w:val="0"/>
              <w:autoSpaceDE w:val="0"/>
              <w:spacing w:line="240" w:lineRule="atLeast"/>
              <w:contextualSpacing/>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2.2. Постанови Кабінету Міністрів України «Про застосування заборони ввезення товарів з Російської Федерації» від 09.04.2022 №426, оскільки цією постановою заборонено ввезення на митну територію України в митному режимі імпорту товарів з Російської Федерації; </w:t>
            </w:r>
          </w:p>
          <w:p>
            <w:pPr>
              <w:widowControl w:val="0"/>
              <w:autoSpaceDE w:val="0"/>
              <w:spacing w:line="240" w:lineRule="atLeast"/>
              <w:contextualSpacing/>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2.3. Закону України «Про забезпечення прав і свобод громадян та правовий режим на тимчасово окупованій території України» від 15.04.2014 №1207-VII  у зв’язку із законодавчо встановленими заборонами на взаємодію з ТОТ.</w:t>
            </w:r>
          </w:p>
          <w:p>
            <w:pPr>
              <w:widowControl w:val="0"/>
              <w:autoSpaceDE w:val="0"/>
              <w:spacing w:line="240" w:lineRule="atLeast"/>
              <w:contextualSpacing/>
              <w:jc w:val="both"/>
              <w:rPr>
                <w:rFonts w:hint="default" w:ascii="Times New Roman" w:hAnsi="Times New Roman" w:cs="Times New Roman"/>
                <w:sz w:val="24"/>
                <w:szCs w:val="24"/>
                <w:lang w:val="uk-UA"/>
              </w:rPr>
            </w:pPr>
          </w:p>
          <w:p>
            <w:pPr>
              <w:jc w:val="both"/>
              <w:rPr>
                <w:rFonts w:hint="default" w:ascii="Times New Roman" w:hAnsi="Times New Roman" w:cs="Times New Roman"/>
                <w:b/>
                <w:i/>
                <w:sz w:val="24"/>
                <w:szCs w:val="24"/>
                <w:lang w:val="ru-RU" w:eastAsia="ar-SA"/>
              </w:rPr>
            </w:pPr>
            <w:r>
              <w:rPr>
                <w:rFonts w:hint="default" w:ascii="Times New Roman" w:hAnsi="Times New Roman" w:cs="Times New Roman"/>
                <w:b/>
                <w:sz w:val="24"/>
                <w:szCs w:val="24"/>
                <w:lang w:val="ru-RU" w:eastAsia="zh-CN"/>
              </w:rPr>
              <w:t>Плата за послуги з розподілу електричної енергії здійснюється Замовником самостійно</w:t>
            </w:r>
          </w:p>
          <w:p>
            <w:pPr>
              <w:widowControl w:val="0"/>
              <w:tabs>
                <w:tab w:val="left" w:pos="3765"/>
              </w:tabs>
              <w:autoSpaceDE w:val="0"/>
              <w:jc w:val="both"/>
              <w:rPr>
                <w:rFonts w:ascii="Times New Roman" w:hAnsi="Times New Roman"/>
                <w:b/>
                <w:sz w:val="24"/>
                <w:szCs w:val="24"/>
                <w:lang w:eastAsia="ar-SA"/>
              </w:rPr>
            </w:pPr>
            <w:r>
              <w:rPr>
                <w:rFonts w:hint="default" w:ascii="Times New Roman" w:hAnsi="Times New Roman" w:cs="Times New Roman"/>
                <w:b/>
                <w:i/>
                <w:sz w:val="24"/>
                <w:szCs w:val="24"/>
                <w:u w:val="single"/>
                <w:lang w:val="ru-RU" w:eastAsia="zh-CN"/>
              </w:rPr>
              <w:t xml:space="preserve">Довідково: на підприємстві відсутня АСКОЕ. </w:t>
            </w:r>
            <w:r>
              <w:rPr>
                <w:rFonts w:hint="default" w:ascii="Times New Roman" w:hAnsi="Times New Roman" w:cs="Times New Roman"/>
                <w:b/>
                <w:i/>
                <w:sz w:val="24"/>
                <w:szCs w:val="24"/>
                <w:u w:val="single"/>
                <w:lang w:val="ru-RU" w:eastAsia="en-US"/>
              </w:rPr>
              <w:t>Клас напруги</w:t>
            </w:r>
            <w:r>
              <w:rPr>
                <w:rFonts w:hint="default" w:ascii="Times New Roman" w:hAnsi="Times New Roman" w:cs="Times New Roman"/>
                <w:b/>
                <w:sz w:val="24"/>
                <w:szCs w:val="24"/>
                <w:u w:val="single"/>
                <w:lang w:val="ru-RU" w:eastAsia="en-US"/>
              </w:rPr>
              <w:t xml:space="preserve">: </w:t>
            </w:r>
            <w:r>
              <w:rPr>
                <w:rFonts w:hint="default" w:ascii="Times New Roman" w:hAnsi="Times New Roman" w:cs="Times New Roman"/>
                <w:b/>
                <w:i/>
                <w:sz w:val="24"/>
                <w:szCs w:val="24"/>
                <w:u w:val="single"/>
                <w:lang w:val="ru-RU" w:eastAsia="en-US"/>
              </w:rPr>
              <w:t>2 клас</w:t>
            </w:r>
            <w:r>
              <w:rPr>
                <w:rFonts w:ascii="Times New Roman" w:hAnsi="Times New Roman"/>
                <w:b/>
                <w:i/>
                <w:sz w:val="24"/>
                <w:szCs w:val="24"/>
                <w:lang w:eastAsia="ar-SA"/>
              </w:rPr>
              <w:br w:type="page"/>
            </w:r>
          </w:p>
        </w:tc>
      </w:tr>
    </w:tbl>
    <w:p>
      <w:pPr>
        <w:shd w:val="clear" w:color="auto" w:fill="FFFFFF"/>
        <w:spacing w:after="0" w:line="240" w:lineRule="auto"/>
        <w:jc w:val="center"/>
        <w:rPr>
          <w:rFonts w:ascii="Times New Roman" w:hAnsi="Times New Roman" w:eastAsia="Times New Roman" w:cs="Times New Roman"/>
          <w:sz w:val="24"/>
          <w:szCs w:val="24"/>
          <w:lang w:eastAsia="uk-UA"/>
        </w:rPr>
      </w:pPr>
      <w:bookmarkStart w:id="0" w:name="_GoBack"/>
      <w:bookmarkEnd w:id="0"/>
    </w:p>
    <w:sectPr>
      <w:pgSz w:w="16838" w:h="11906" w:orient="landscape"/>
      <w:pgMar w:top="709"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2F"/>
    <w:rsid w:val="0000022E"/>
    <w:rsid w:val="0003582F"/>
    <w:rsid w:val="00043184"/>
    <w:rsid w:val="00117A83"/>
    <w:rsid w:val="00125C17"/>
    <w:rsid w:val="00190C74"/>
    <w:rsid w:val="00222564"/>
    <w:rsid w:val="002552ED"/>
    <w:rsid w:val="002E68D8"/>
    <w:rsid w:val="00365A2F"/>
    <w:rsid w:val="00430AFF"/>
    <w:rsid w:val="00442BE1"/>
    <w:rsid w:val="005E7478"/>
    <w:rsid w:val="00690694"/>
    <w:rsid w:val="00704732"/>
    <w:rsid w:val="00713593"/>
    <w:rsid w:val="00805FA7"/>
    <w:rsid w:val="008A67DB"/>
    <w:rsid w:val="008B1CF3"/>
    <w:rsid w:val="00945BE7"/>
    <w:rsid w:val="00974FFA"/>
    <w:rsid w:val="00994A95"/>
    <w:rsid w:val="009F2E46"/>
    <w:rsid w:val="00A7299C"/>
    <w:rsid w:val="00A81960"/>
    <w:rsid w:val="00AD6D4B"/>
    <w:rsid w:val="00B65035"/>
    <w:rsid w:val="00BA5F95"/>
    <w:rsid w:val="00C2598E"/>
    <w:rsid w:val="00C76FF8"/>
    <w:rsid w:val="00E17014"/>
    <w:rsid w:val="00EC62C5"/>
    <w:rsid w:val="00FA6EC9"/>
    <w:rsid w:val="04D05537"/>
    <w:rsid w:val="6D4E18C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Основний текст_"/>
    <w:basedOn w:val="2"/>
    <w:link w:val="6"/>
    <w:qFormat/>
    <w:uiPriority w:val="0"/>
    <w:rPr>
      <w:rFonts w:eastAsia="Times New Roman"/>
      <w:shd w:val="clear" w:color="auto" w:fill="FFFFFF"/>
    </w:rPr>
  </w:style>
  <w:style w:type="paragraph" w:customStyle="1" w:styleId="6">
    <w:name w:val="Основний текст"/>
    <w:basedOn w:val="1"/>
    <w:link w:val="5"/>
    <w:qFormat/>
    <w:uiPriority w:val="0"/>
    <w:pPr>
      <w:widowControl w:val="0"/>
      <w:shd w:val="clear" w:color="auto" w:fill="FFFFFF"/>
      <w:spacing w:after="0" w:line="240" w:lineRule="auto"/>
    </w:pPr>
    <w:rPr>
      <w:rFonts w:ascii="Times New Roman" w:hAnsi="Times New Roman" w:eastAsia="Times New Roman" w:cs="Times New Roman"/>
      <w:sz w:val="20"/>
      <w:szCs w:val="20"/>
      <w:lang w:val="zh-CN" w:eastAsia="zh-CN"/>
    </w:rPr>
  </w:style>
  <w:style w:type="paragraph" w:customStyle="1" w:styleId="7">
    <w:name w:val="Table Paragraph"/>
    <w:basedOn w:val="1"/>
    <w:qFormat/>
    <w:uiPriority w:val="1"/>
    <w:pPr>
      <w:widowControl w:val="0"/>
      <w:suppressAutoHyphens w:val="0"/>
    </w:pPr>
    <w:rPr>
      <w:rFonts w:asciiTheme="minorHAnsi" w:hAnsiTheme="minorHAnsi" w:eastAsiaTheme="minorHAnsi" w:cstheme="minorBidi"/>
      <w:sz w:val="22"/>
      <w:szCs w:val="22"/>
      <w:lang w:val="uk-UA"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412</Words>
  <Characters>2354</Characters>
  <Lines>19</Lines>
  <Paragraphs>5</Paragraphs>
  <TotalTime>4</TotalTime>
  <ScaleCrop>false</ScaleCrop>
  <LinksUpToDate>false</LinksUpToDate>
  <CharactersWithSpaces>2761</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2021-11-29T13:18:00Z</dcterms:created>
  <dc:creator>chernikov</dc:creator>
  <cp:lastModifiedBy>chernikov</cp:lastModifiedBy>
  <cp:lastPrinted>2021-02-05T13:32:00Z</cp:lastPrinted>
  <dcterms:modified xsi:type="dcterms:W3CDTF">2023-11-21T07:55:03Z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